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B69" w:rsidRPr="0016346B" w:rsidRDefault="00DC0B69" w:rsidP="002219B9">
      <w:pPr>
        <w:jc w:val="both"/>
        <w:rPr>
          <w:b/>
        </w:rPr>
      </w:pPr>
      <w:bookmarkStart w:id="0" w:name="_GoBack"/>
      <w:bookmarkEnd w:id="0"/>
      <w:r w:rsidRPr="0016346B">
        <w:rPr>
          <w:b/>
        </w:rPr>
        <w:t>Nastavni zavod za hitnu medicinu Grada Zagreba, Heinzelova 88, Zagreb</w:t>
      </w:r>
    </w:p>
    <w:p w:rsidR="00DC0B69" w:rsidRDefault="00DC0B69" w:rsidP="002219B9">
      <w:pPr>
        <w:jc w:val="both"/>
      </w:pPr>
      <w:r>
        <w:t>OIB: 44879111575, MB: 032707</w:t>
      </w:r>
      <w:r w:rsidR="00A9147A">
        <w:t>26, IBAN: HR5624020061100961533</w:t>
      </w:r>
    </w:p>
    <w:p w:rsidR="00682B86" w:rsidRDefault="00186A93" w:rsidP="002219B9">
      <w:pPr>
        <w:jc w:val="both"/>
      </w:pPr>
      <w:hyperlink r:id="rId8" w:history="1">
        <w:r w:rsidR="008D3485" w:rsidRPr="000147DB">
          <w:rPr>
            <w:rStyle w:val="Hiperveza"/>
          </w:rPr>
          <w:t>www.hitnazg.hr</w:t>
        </w:r>
      </w:hyperlink>
      <w:r w:rsidR="00DC0B69">
        <w:t xml:space="preserve">, e-pošta: </w:t>
      </w:r>
      <w:hyperlink r:id="rId9" w:history="1">
        <w:r w:rsidR="008D3485" w:rsidRPr="000147DB">
          <w:rPr>
            <w:rStyle w:val="Hiperveza"/>
          </w:rPr>
          <w:t>hitna@hitnazg.hr</w:t>
        </w:r>
      </w:hyperlink>
    </w:p>
    <w:p w:rsidR="008D3485" w:rsidRDefault="008D3485" w:rsidP="002219B9">
      <w:pPr>
        <w:jc w:val="both"/>
      </w:pPr>
    </w:p>
    <w:p w:rsidR="001949FD" w:rsidRDefault="005C0611" w:rsidP="001949FD">
      <w:pPr>
        <w:jc w:val="both"/>
      </w:pPr>
      <w:r>
        <w:t>Pravni oblik: ustanova</w:t>
      </w:r>
      <w:r w:rsidR="004B7196">
        <w:t>, s</w:t>
      </w:r>
      <w:r w:rsidR="001949FD">
        <w:t>ubjekt je upisan kod Trgovačkog suda u Zagrebu pod reg.ul. 1-522 (Tt-95/8932-5 od 23.09.1997.)</w:t>
      </w:r>
      <w:r w:rsidR="004B7196">
        <w:t xml:space="preserve"> </w:t>
      </w:r>
      <w:r w:rsidR="001949FD">
        <w:t>MBS: 080165991</w:t>
      </w:r>
    </w:p>
    <w:p w:rsidR="004A41B6" w:rsidRDefault="004A41B6" w:rsidP="002219B9">
      <w:pPr>
        <w:jc w:val="both"/>
      </w:pPr>
    </w:p>
    <w:p w:rsidR="008D3485" w:rsidRDefault="008D3485" w:rsidP="002219B9">
      <w:pPr>
        <w:jc w:val="both"/>
      </w:pPr>
      <w:r>
        <w:t>RKP: 25827</w:t>
      </w:r>
    </w:p>
    <w:p w:rsidR="008D3485" w:rsidRDefault="003D1561" w:rsidP="002219B9">
      <w:pPr>
        <w:jc w:val="both"/>
      </w:pPr>
      <w:r>
        <w:t>Razina: 31 -</w:t>
      </w:r>
      <w:r w:rsidR="008D3485">
        <w:t>p</w:t>
      </w:r>
      <w:r w:rsidR="008D3485" w:rsidRPr="008D3485">
        <w:t xml:space="preserve">roračunski korisnik </w:t>
      </w:r>
      <w:r w:rsidR="008D3485">
        <w:t>JLP(R)S</w:t>
      </w:r>
      <w:r w:rsidR="008D3485" w:rsidRPr="008D3485">
        <w:t xml:space="preserve"> koji obavlja poslove u sklopu funkcija koje se decentraliziraju</w:t>
      </w:r>
    </w:p>
    <w:p w:rsidR="008D3485" w:rsidRDefault="008D3485" w:rsidP="002219B9">
      <w:pPr>
        <w:jc w:val="both"/>
      </w:pPr>
      <w:r>
        <w:t>Djelatnost: 8622 Djelatnosti specijalističke medicinske prakse</w:t>
      </w:r>
    </w:p>
    <w:p w:rsidR="008D3485" w:rsidRDefault="00EE3967" w:rsidP="002219B9">
      <w:pPr>
        <w:jc w:val="both"/>
      </w:pPr>
      <w:r w:rsidRPr="00EE3967">
        <w:t>Datum osnivanja: 16.10.1909.</w:t>
      </w:r>
    </w:p>
    <w:p w:rsidR="009F2C08" w:rsidRDefault="009F2C08" w:rsidP="002219B9">
      <w:pPr>
        <w:jc w:val="both"/>
      </w:pPr>
    </w:p>
    <w:p w:rsidR="00B17EC2" w:rsidRDefault="00B17EC2" w:rsidP="002219B9">
      <w:pPr>
        <w:jc w:val="both"/>
      </w:pPr>
    </w:p>
    <w:p w:rsidR="006B7C77" w:rsidRDefault="006B7C77" w:rsidP="002219B9">
      <w:pPr>
        <w:jc w:val="both"/>
      </w:pPr>
    </w:p>
    <w:p w:rsidR="009F2C08" w:rsidRDefault="009F2C08" w:rsidP="00B8095D">
      <w:pPr>
        <w:jc w:val="center"/>
        <w:rPr>
          <w:sz w:val="32"/>
          <w:szCs w:val="32"/>
        </w:rPr>
      </w:pPr>
      <w:r w:rsidRPr="0016346B">
        <w:rPr>
          <w:sz w:val="32"/>
          <w:szCs w:val="32"/>
        </w:rPr>
        <w:t>Bilješke uz financijske izvještaje za 2023. godinu</w:t>
      </w:r>
    </w:p>
    <w:p w:rsidR="00A0297A" w:rsidRDefault="00A0297A" w:rsidP="00A0297A">
      <w:pPr>
        <w:jc w:val="both"/>
      </w:pPr>
    </w:p>
    <w:p w:rsidR="00B17EC2" w:rsidRDefault="00B17EC2" w:rsidP="00A0297A">
      <w:pPr>
        <w:jc w:val="both"/>
      </w:pPr>
    </w:p>
    <w:p w:rsidR="006B7C77" w:rsidRDefault="006B7C77" w:rsidP="00A0297A">
      <w:pPr>
        <w:jc w:val="both"/>
      </w:pPr>
    </w:p>
    <w:p w:rsidR="00A0297A" w:rsidRDefault="00A0297A" w:rsidP="00A0297A">
      <w:pPr>
        <w:jc w:val="both"/>
      </w:pPr>
      <w:r>
        <w:t>Nastavni z</w:t>
      </w:r>
      <w:r w:rsidRPr="002219B9">
        <w:t xml:space="preserve">avod za hitnu medicinu </w:t>
      </w:r>
      <w:r>
        <w:t>Grada Zagreba (dalje u tekstu: „Zavod“)</w:t>
      </w:r>
      <w:r w:rsidRPr="002219B9">
        <w:t xml:space="preserve"> je javna ustanova osnovana od strane </w:t>
      </w:r>
      <w:r>
        <w:t xml:space="preserve">Grada Zagreba, ustrojena </w:t>
      </w:r>
      <w:r w:rsidRPr="002219B9">
        <w:t>za obavljanje djelatnosti izvanbolničke hitne medicine i sanitetskog prijevoza.</w:t>
      </w:r>
    </w:p>
    <w:p w:rsidR="00A0297A" w:rsidRDefault="00A0297A" w:rsidP="00A0297A">
      <w:pPr>
        <w:jc w:val="both"/>
      </w:pPr>
    </w:p>
    <w:p w:rsidR="00A0297A" w:rsidRDefault="00A0297A" w:rsidP="00A0297A">
      <w:pPr>
        <w:jc w:val="both"/>
      </w:pPr>
      <w:r>
        <w:t>Zakonski okvir za sastavljanje financijskih izvještaja Zavoda čine: Zakon o proračunu, Zakon o izvršavanju državnog proračuna RH za 2023</w:t>
      </w:r>
      <w:r w:rsidRPr="006C28DF">
        <w:t>., Odluka o izvršavanju proračuna Grada</w:t>
      </w:r>
      <w:r>
        <w:t xml:space="preserve"> Zagreba za 2023., Pravilnik o proračunskom računovodstvu i računskom planu, Pravilnik o financijskom izvještavanju u proračunskom računovodstvu, a izvještaji su u skladu i s odredbama statuta Zavoda.</w:t>
      </w:r>
    </w:p>
    <w:p w:rsidR="001148BF" w:rsidRDefault="001148BF" w:rsidP="002219B9">
      <w:pPr>
        <w:jc w:val="both"/>
      </w:pPr>
    </w:p>
    <w:sdt>
      <w:sdtPr>
        <w:rPr>
          <w:rFonts w:asciiTheme="minorHAnsi" w:eastAsiaTheme="minorHAnsi" w:hAnsiTheme="minorHAnsi" w:cstheme="minorBidi"/>
          <w:color w:val="auto"/>
          <w:sz w:val="22"/>
          <w:szCs w:val="22"/>
          <w:lang w:val="hr-HR"/>
        </w:rPr>
        <w:id w:val="1797102599"/>
        <w:docPartObj>
          <w:docPartGallery w:val="Table of Contents"/>
          <w:docPartUnique/>
        </w:docPartObj>
      </w:sdtPr>
      <w:sdtEndPr>
        <w:rPr>
          <w:b/>
          <w:bCs/>
        </w:rPr>
      </w:sdtEndPr>
      <w:sdtContent>
        <w:p w:rsidR="0021451B" w:rsidRDefault="0021451B">
          <w:pPr>
            <w:pStyle w:val="TOCNaslov"/>
          </w:pPr>
          <w:r>
            <w:rPr>
              <w:lang w:val="hr-HR"/>
            </w:rPr>
            <w:t>Sadržaj</w:t>
          </w:r>
        </w:p>
        <w:p w:rsidR="00B17EC2" w:rsidRDefault="0021451B">
          <w:pPr>
            <w:pStyle w:val="Sadraj1"/>
            <w:tabs>
              <w:tab w:val="left" w:pos="440"/>
              <w:tab w:val="right" w:leader="dot" w:pos="9062"/>
            </w:tabs>
            <w:rPr>
              <w:rFonts w:eastAsiaTheme="minorEastAsia"/>
              <w:noProof/>
              <w:lang w:eastAsia="hr-HR"/>
            </w:rPr>
          </w:pPr>
          <w:r>
            <w:fldChar w:fldCharType="begin"/>
          </w:r>
          <w:r>
            <w:instrText xml:space="preserve"> TOC \o "1-3" \h \z \u </w:instrText>
          </w:r>
          <w:r>
            <w:fldChar w:fldCharType="separate"/>
          </w:r>
          <w:hyperlink w:anchor="_Toc157592712" w:history="1">
            <w:r w:rsidR="00B17EC2" w:rsidRPr="005A0D88">
              <w:rPr>
                <w:rStyle w:val="Hiperveza"/>
                <w:noProof/>
              </w:rPr>
              <w:t>1.</w:t>
            </w:r>
            <w:r w:rsidR="00B17EC2">
              <w:rPr>
                <w:rFonts w:eastAsiaTheme="minorEastAsia"/>
                <w:noProof/>
                <w:lang w:eastAsia="hr-HR"/>
              </w:rPr>
              <w:tab/>
            </w:r>
            <w:r w:rsidR="00B17EC2" w:rsidRPr="005A0D88">
              <w:rPr>
                <w:rStyle w:val="Hiperveza"/>
                <w:noProof/>
              </w:rPr>
              <w:t>Bilješke uz Izvještaj o prihodima i rashodima, primicima i izdacima (obrazac PR-RAS)</w:t>
            </w:r>
            <w:r w:rsidR="00B17EC2">
              <w:rPr>
                <w:noProof/>
                <w:webHidden/>
              </w:rPr>
              <w:tab/>
            </w:r>
            <w:r w:rsidR="00B17EC2">
              <w:rPr>
                <w:noProof/>
                <w:webHidden/>
              </w:rPr>
              <w:fldChar w:fldCharType="begin"/>
            </w:r>
            <w:r w:rsidR="00B17EC2">
              <w:rPr>
                <w:noProof/>
                <w:webHidden/>
              </w:rPr>
              <w:instrText xml:space="preserve"> PAGEREF _Toc157592712 \h </w:instrText>
            </w:r>
            <w:r w:rsidR="00B17EC2">
              <w:rPr>
                <w:noProof/>
                <w:webHidden/>
              </w:rPr>
            </w:r>
            <w:r w:rsidR="00B17EC2">
              <w:rPr>
                <w:noProof/>
                <w:webHidden/>
              </w:rPr>
              <w:fldChar w:fldCharType="separate"/>
            </w:r>
            <w:r w:rsidR="00B17EC2">
              <w:rPr>
                <w:noProof/>
                <w:webHidden/>
              </w:rPr>
              <w:t>2</w:t>
            </w:r>
            <w:r w:rsidR="00B17EC2">
              <w:rPr>
                <w:noProof/>
                <w:webHidden/>
              </w:rPr>
              <w:fldChar w:fldCharType="end"/>
            </w:r>
          </w:hyperlink>
        </w:p>
        <w:p w:rsidR="00B17EC2" w:rsidRDefault="00186A93">
          <w:pPr>
            <w:pStyle w:val="Sadraj2"/>
            <w:tabs>
              <w:tab w:val="right" w:leader="dot" w:pos="9062"/>
            </w:tabs>
            <w:rPr>
              <w:rFonts w:eastAsiaTheme="minorEastAsia"/>
              <w:noProof/>
              <w:lang w:eastAsia="hr-HR"/>
            </w:rPr>
          </w:pPr>
          <w:hyperlink w:anchor="_Toc157592713" w:history="1">
            <w:r w:rsidR="00B17EC2" w:rsidRPr="005A0D88">
              <w:rPr>
                <w:rStyle w:val="Hiperveza"/>
                <w:noProof/>
              </w:rPr>
              <w:t>Uvođenje eura-nastale razlike</w:t>
            </w:r>
            <w:r w:rsidR="00B17EC2">
              <w:rPr>
                <w:noProof/>
                <w:webHidden/>
              </w:rPr>
              <w:tab/>
            </w:r>
            <w:r w:rsidR="00B17EC2">
              <w:rPr>
                <w:noProof/>
                <w:webHidden/>
              </w:rPr>
              <w:fldChar w:fldCharType="begin"/>
            </w:r>
            <w:r w:rsidR="00B17EC2">
              <w:rPr>
                <w:noProof/>
                <w:webHidden/>
              </w:rPr>
              <w:instrText xml:space="preserve"> PAGEREF _Toc157592713 \h </w:instrText>
            </w:r>
            <w:r w:rsidR="00B17EC2">
              <w:rPr>
                <w:noProof/>
                <w:webHidden/>
              </w:rPr>
            </w:r>
            <w:r w:rsidR="00B17EC2">
              <w:rPr>
                <w:noProof/>
                <w:webHidden/>
              </w:rPr>
              <w:fldChar w:fldCharType="separate"/>
            </w:r>
            <w:r w:rsidR="00B17EC2">
              <w:rPr>
                <w:noProof/>
                <w:webHidden/>
              </w:rPr>
              <w:t>5</w:t>
            </w:r>
            <w:r w:rsidR="00B17EC2">
              <w:rPr>
                <w:noProof/>
                <w:webHidden/>
              </w:rPr>
              <w:fldChar w:fldCharType="end"/>
            </w:r>
          </w:hyperlink>
        </w:p>
        <w:p w:rsidR="00B17EC2" w:rsidRDefault="00186A93">
          <w:pPr>
            <w:pStyle w:val="Sadraj1"/>
            <w:tabs>
              <w:tab w:val="left" w:pos="440"/>
              <w:tab w:val="right" w:leader="dot" w:pos="9062"/>
            </w:tabs>
            <w:rPr>
              <w:rFonts w:eastAsiaTheme="minorEastAsia"/>
              <w:noProof/>
              <w:lang w:eastAsia="hr-HR"/>
            </w:rPr>
          </w:pPr>
          <w:hyperlink w:anchor="_Toc157592714" w:history="1">
            <w:r w:rsidR="00B17EC2" w:rsidRPr="005A0D88">
              <w:rPr>
                <w:rStyle w:val="Hiperveza"/>
                <w:noProof/>
              </w:rPr>
              <w:t>2.</w:t>
            </w:r>
            <w:r w:rsidR="00B17EC2">
              <w:rPr>
                <w:rFonts w:eastAsiaTheme="minorEastAsia"/>
                <w:noProof/>
                <w:lang w:eastAsia="hr-HR"/>
              </w:rPr>
              <w:tab/>
            </w:r>
            <w:r w:rsidR="00B17EC2" w:rsidRPr="005A0D88">
              <w:rPr>
                <w:rStyle w:val="Hiperveza"/>
                <w:noProof/>
              </w:rPr>
              <w:t>Bilješke uz Bilancu (obrazac BIL)</w:t>
            </w:r>
            <w:r w:rsidR="00B17EC2">
              <w:rPr>
                <w:noProof/>
                <w:webHidden/>
              </w:rPr>
              <w:tab/>
            </w:r>
            <w:r w:rsidR="00B17EC2">
              <w:rPr>
                <w:noProof/>
                <w:webHidden/>
              </w:rPr>
              <w:fldChar w:fldCharType="begin"/>
            </w:r>
            <w:r w:rsidR="00B17EC2">
              <w:rPr>
                <w:noProof/>
                <w:webHidden/>
              </w:rPr>
              <w:instrText xml:space="preserve"> PAGEREF _Toc157592714 \h </w:instrText>
            </w:r>
            <w:r w:rsidR="00B17EC2">
              <w:rPr>
                <w:noProof/>
                <w:webHidden/>
              </w:rPr>
            </w:r>
            <w:r w:rsidR="00B17EC2">
              <w:rPr>
                <w:noProof/>
                <w:webHidden/>
              </w:rPr>
              <w:fldChar w:fldCharType="separate"/>
            </w:r>
            <w:r w:rsidR="00B17EC2">
              <w:rPr>
                <w:noProof/>
                <w:webHidden/>
              </w:rPr>
              <w:t>5</w:t>
            </w:r>
            <w:r w:rsidR="00B17EC2">
              <w:rPr>
                <w:noProof/>
                <w:webHidden/>
              </w:rPr>
              <w:fldChar w:fldCharType="end"/>
            </w:r>
          </w:hyperlink>
        </w:p>
        <w:p w:rsidR="00B17EC2" w:rsidRDefault="00186A93">
          <w:pPr>
            <w:pStyle w:val="Sadraj2"/>
            <w:tabs>
              <w:tab w:val="left" w:pos="660"/>
              <w:tab w:val="right" w:leader="dot" w:pos="9062"/>
            </w:tabs>
            <w:rPr>
              <w:rFonts w:eastAsiaTheme="minorEastAsia"/>
              <w:noProof/>
              <w:lang w:eastAsia="hr-HR"/>
            </w:rPr>
          </w:pPr>
          <w:hyperlink w:anchor="_Toc157592715" w:history="1">
            <w:r w:rsidR="00B17EC2" w:rsidRPr="005A0D88">
              <w:rPr>
                <w:rStyle w:val="Hiperveza"/>
                <w:noProof/>
              </w:rPr>
              <w:t>a)</w:t>
            </w:r>
            <w:r w:rsidR="00B17EC2">
              <w:rPr>
                <w:rFonts w:eastAsiaTheme="minorEastAsia"/>
                <w:noProof/>
                <w:lang w:eastAsia="hr-HR"/>
              </w:rPr>
              <w:tab/>
            </w:r>
            <w:r w:rsidR="00B17EC2" w:rsidRPr="005A0D88">
              <w:rPr>
                <w:rStyle w:val="Hiperveza"/>
                <w:noProof/>
              </w:rPr>
              <w:t>Komentar bilančnih stavki</w:t>
            </w:r>
            <w:r w:rsidR="00B17EC2">
              <w:rPr>
                <w:noProof/>
                <w:webHidden/>
              </w:rPr>
              <w:tab/>
            </w:r>
            <w:r w:rsidR="00B17EC2">
              <w:rPr>
                <w:noProof/>
                <w:webHidden/>
              </w:rPr>
              <w:fldChar w:fldCharType="begin"/>
            </w:r>
            <w:r w:rsidR="00B17EC2">
              <w:rPr>
                <w:noProof/>
                <w:webHidden/>
              </w:rPr>
              <w:instrText xml:space="preserve"> PAGEREF _Toc157592715 \h </w:instrText>
            </w:r>
            <w:r w:rsidR="00B17EC2">
              <w:rPr>
                <w:noProof/>
                <w:webHidden/>
              </w:rPr>
            </w:r>
            <w:r w:rsidR="00B17EC2">
              <w:rPr>
                <w:noProof/>
                <w:webHidden/>
              </w:rPr>
              <w:fldChar w:fldCharType="separate"/>
            </w:r>
            <w:r w:rsidR="00B17EC2">
              <w:rPr>
                <w:noProof/>
                <w:webHidden/>
              </w:rPr>
              <w:t>5</w:t>
            </w:r>
            <w:r w:rsidR="00B17EC2">
              <w:rPr>
                <w:noProof/>
                <w:webHidden/>
              </w:rPr>
              <w:fldChar w:fldCharType="end"/>
            </w:r>
          </w:hyperlink>
        </w:p>
        <w:p w:rsidR="00B17EC2" w:rsidRDefault="00186A93">
          <w:pPr>
            <w:pStyle w:val="Sadraj2"/>
            <w:tabs>
              <w:tab w:val="left" w:pos="660"/>
              <w:tab w:val="right" w:leader="dot" w:pos="9062"/>
            </w:tabs>
            <w:rPr>
              <w:rFonts w:eastAsiaTheme="minorEastAsia"/>
              <w:noProof/>
              <w:lang w:eastAsia="hr-HR"/>
            </w:rPr>
          </w:pPr>
          <w:hyperlink w:anchor="_Toc157592716" w:history="1">
            <w:r w:rsidR="00B17EC2" w:rsidRPr="005A0D88">
              <w:rPr>
                <w:rStyle w:val="Hiperveza"/>
                <w:rFonts w:asciiTheme="majorHAnsi" w:eastAsiaTheme="majorEastAsia" w:hAnsiTheme="majorHAnsi" w:cstheme="majorBidi"/>
                <w:noProof/>
              </w:rPr>
              <w:t>b)</w:t>
            </w:r>
            <w:r w:rsidR="00B17EC2">
              <w:rPr>
                <w:rFonts w:eastAsiaTheme="minorEastAsia"/>
                <w:noProof/>
                <w:lang w:eastAsia="hr-HR"/>
              </w:rPr>
              <w:tab/>
            </w:r>
            <w:r w:rsidR="00B17EC2" w:rsidRPr="005A0D88">
              <w:rPr>
                <w:rStyle w:val="Hiperveza"/>
                <w:rFonts w:asciiTheme="majorHAnsi" w:eastAsiaTheme="majorEastAsia" w:hAnsiTheme="majorHAnsi" w:cstheme="majorBidi"/>
                <w:noProof/>
              </w:rPr>
              <w:t>Komentar izvanbilančnih stavki</w:t>
            </w:r>
            <w:r w:rsidR="00B17EC2">
              <w:rPr>
                <w:noProof/>
                <w:webHidden/>
              </w:rPr>
              <w:tab/>
            </w:r>
            <w:r w:rsidR="00B17EC2">
              <w:rPr>
                <w:noProof/>
                <w:webHidden/>
              </w:rPr>
              <w:fldChar w:fldCharType="begin"/>
            </w:r>
            <w:r w:rsidR="00B17EC2">
              <w:rPr>
                <w:noProof/>
                <w:webHidden/>
              </w:rPr>
              <w:instrText xml:space="preserve"> PAGEREF _Toc157592716 \h </w:instrText>
            </w:r>
            <w:r w:rsidR="00B17EC2">
              <w:rPr>
                <w:noProof/>
                <w:webHidden/>
              </w:rPr>
            </w:r>
            <w:r w:rsidR="00B17EC2">
              <w:rPr>
                <w:noProof/>
                <w:webHidden/>
              </w:rPr>
              <w:fldChar w:fldCharType="separate"/>
            </w:r>
            <w:r w:rsidR="00B17EC2">
              <w:rPr>
                <w:noProof/>
                <w:webHidden/>
              </w:rPr>
              <w:t>6</w:t>
            </w:r>
            <w:r w:rsidR="00B17EC2">
              <w:rPr>
                <w:noProof/>
                <w:webHidden/>
              </w:rPr>
              <w:fldChar w:fldCharType="end"/>
            </w:r>
          </w:hyperlink>
        </w:p>
        <w:p w:rsidR="00B17EC2" w:rsidRDefault="00186A93">
          <w:pPr>
            <w:pStyle w:val="Sadraj3"/>
            <w:tabs>
              <w:tab w:val="left" w:pos="880"/>
              <w:tab w:val="right" w:leader="dot" w:pos="9062"/>
            </w:tabs>
            <w:rPr>
              <w:rFonts w:eastAsiaTheme="minorEastAsia"/>
              <w:noProof/>
              <w:lang w:eastAsia="hr-HR"/>
            </w:rPr>
          </w:pPr>
          <w:hyperlink w:anchor="_Toc157592717" w:history="1">
            <w:r w:rsidR="00B17EC2" w:rsidRPr="005A0D88">
              <w:rPr>
                <w:rStyle w:val="Hiperveza"/>
                <w:rFonts w:asciiTheme="majorHAnsi" w:eastAsiaTheme="majorEastAsia" w:hAnsiTheme="majorHAnsi" w:cstheme="majorBidi"/>
                <w:noProof/>
              </w:rPr>
              <w:t>1)</w:t>
            </w:r>
            <w:r w:rsidR="00B17EC2">
              <w:rPr>
                <w:rFonts w:eastAsiaTheme="minorEastAsia"/>
                <w:noProof/>
                <w:lang w:eastAsia="hr-HR"/>
              </w:rPr>
              <w:tab/>
            </w:r>
            <w:r w:rsidR="00B17EC2" w:rsidRPr="005A0D88">
              <w:rPr>
                <w:rStyle w:val="Hiperveza"/>
                <w:rFonts w:asciiTheme="majorHAnsi" w:eastAsiaTheme="majorEastAsia" w:hAnsiTheme="majorHAnsi" w:cstheme="majorBidi"/>
                <w:noProof/>
              </w:rPr>
              <w:t>Popis ugovornih odnosa i slično koji uz ispunjenje određenih uvjeta, mogu postati obveza ili imovina (dana kreditna pisma, hipoteke i slično)</w:t>
            </w:r>
            <w:r w:rsidR="00B17EC2">
              <w:rPr>
                <w:noProof/>
                <w:webHidden/>
              </w:rPr>
              <w:tab/>
            </w:r>
            <w:r w:rsidR="00B17EC2">
              <w:rPr>
                <w:noProof/>
                <w:webHidden/>
              </w:rPr>
              <w:fldChar w:fldCharType="begin"/>
            </w:r>
            <w:r w:rsidR="00B17EC2">
              <w:rPr>
                <w:noProof/>
                <w:webHidden/>
              </w:rPr>
              <w:instrText xml:space="preserve"> PAGEREF _Toc157592717 \h </w:instrText>
            </w:r>
            <w:r w:rsidR="00B17EC2">
              <w:rPr>
                <w:noProof/>
                <w:webHidden/>
              </w:rPr>
            </w:r>
            <w:r w:rsidR="00B17EC2">
              <w:rPr>
                <w:noProof/>
                <w:webHidden/>
              </w:rPr>
              <w:fldChar w:fldCharType="separate"/>
            </w:r>
            <w:r w:rsidR="00B17EC2">
              <w:rPr>
                <w:noProof/>
                <w:webHidden/>
              </w:rPr>
              <w:t>6</w:t>
            </w:r>
            <w:r w:rsidR="00B17EC2">
              <w:rPr>
                <w:noProof/>
                <w:webHidden/>
              </w:rPr>
              <w:fldChar w:fldCharType="end"/>
            </w:r>
          </w:hyperlink>
        </w:p>
        <w:p w:rsidR="00B17EC2" w:rsidRDefault="00186A93">
          <w:pPr>
            <w:pStyle w:val="Sadraj3"/>
            <w:tabs>
              <w:tab w:val="left" w:pos="880"/>
              <w:tab w:val="right" w:leader="dot" w:pos="9062"/>
            </w:tabs>
            <w:rPr>
              <w:rFonts w:eastAsiaTheme="minorEastAsia"/>
              <w:noProof/>
              <w:lang w:eastAsia="hr-HR"/>
            </w:rPr>
          </w:pPr>
          <w:hyperlink w:anchor="_Toc157592718" w:history="1">
            <w:r w:rsidR="00B17EC2" w:rsidRPr="005A0D88">
              <w:rPr>
                <w:rStyle w:val="Hiperveza"/>
                <w:rFonts w:asciiTheme="majorHAnsi" w:eastAsiaTheme="majorEastAsia" w:hAnsiTheme="majorHAnsi" w:cstheme="majorBidi"/>
                <w:noProof/>
              </w:rPr>
              <w:t>2)</w:t>
            </w:r>
            <w:r w:rsidR="00B17EC2">
              <w:rPr>
                <w:rFonts w:eastAsiaTheme="minorEastAsia"/>
                <w:noProof/>
                <w:lang w:eastAsia="hr-HR"/>
              </w:rPr>
              <w:tab/>
            </w:r>
            <w:r w:rsidR="00B17EC2" w:rsidRPr="005A0D88">
              <w:rPr>
                <w:rStyle w:val="Hiperveza"/>
                <w:rFonts w:asciiTheme="majorHAnsi" w:eastAsiaTheme="majorEastAsia" w:hAnsiTheme="majorHAnsi" w:cstheme="majorBidi"/>
                <w:noProof/>
              </w:rPr>
              <w:t>Popis sudskih sporova</w:t>
            </w:r>
            <w:r w:rsidR="00B17EC2">
              <w:rPr>
                <w:noProof/>
                <w:webHidden/>
              </w:rPr>
              <w:tab/>
            </w:r>
            <w:r w:rsidR="00B17EC2">
              <w:rPr>
                <w:noProof/>
                <w:webHidden/>
              </w:rPr>
              <w:fldChar w:fldCharType="begin"/>
            </w:r>
            <w:r w:rsidR="00B17EC2">
              <w:rPr>
                <w:noProof/>
                <w:webHidden/>
              </w:rPr>
              <w:instrText xml:space="preserve"> PAGEREF _Toc157592718 \h </w:instrText>
            </w:r>
            <w:r w:rsidR="00B17EC2">
              <w:rPr>
                <w:noProof/>
                <w:webHidden/>
              </w:rPr>
            </w:r>
            <w:r w:rsidR="00B17EC2">
              <w:rPr>
                <w:noProof/>
                <w:webHidden/>
              </w:rPr>
              <w:fldChar w:fldCharType="separate"/>
            </w:r>
            <w:r w:rsidR="00B17EC2">
              <w:rPr>
                <w:noProof/>
                <w:webHidden/>
              </w:rPr>
              <w:t>7</w:t>
            </w:r>
            <w:r w:rsidR="00B17EC2">
              <w:rPr>
                <w:noProof/>
                <w:webHidden/>
              </w:rPr>
              <w:fldChar w:fldCharType="end"/>
            </w:r>
          </w:hyperlink>
        </w:p>
        <w:p w:rsidR="00B17EC2" w:rsidRDefault="00186A93">
          <w:pPr>
            <w:pStyle w:val="Sadraj1"/>
            <w:tabs>
              <w:tab w:val="left" w:pos="440"/>
              <w:tab w:val="right" w:leader="dot" w:pos="9062"/>
            </w:tabs>
            <w:rPr>
              <w:rFonts w:eastAsiaTheme="minorEastAsia"/>
              <w:noProof/>
              <w:lang w:eastAsia="hr-HR"/>
            </w:rPr>
          </w:pPr>
          <w:hyperlink w:anchor="_Toc157592719" w:history="1">
            <w:r w:rsidR="00B17EC2" w:rsidRPr="005A0D88">
              <w:rPr>
                <w:rStyle w:val="Hiperveza"/>
                <w:noProof/>
              </w:rPr>
              <w:t>3.</w:t>
            </w:r>
            <w:r w:rsidR="00B17EC2">
              <w:rPr>
                <w:rFonts w:eastAsiaTheme="minorEastAsia"/>
                <w:noProof/>
                <w:lang w:eastAsia="hr-HR"/>
              </w:rPr>
              <w:tab/>
            </w:r>
            <w:r w:rsidR="00B17EC2" w:rsidRPr="005A0D88">
              <w:rPr>
                <w:rStyle w:val="Hiperveza"/>
                <w:noProof/>
              </w:rPr>
              <w:t>Bilješke uz Izvještaj o promjenama u vrijednosti i obujmu imovine (obrazac P-VRIO)</w:t>
            </w:r>
            <w:r w:rsidR="00B17EC2">
              <w:rPr>
                <w:noProof/>
                <w:webHidden/>
              </w:rPr>
              <w:tab/>
            </w:r>
            <w:r w:rsidR="00B17EC2">
              <w:rPr>
                <w:noProof/>
                <w:webHidden/>
              </w:rPr>
              <w:fldChar w:fldCharType="begin"/>
            </w:r>
            <w:r w:rsidR="00B17EC2">
              <w:rPr>
                <w:noProof/>
                <w:webHidden/>
              </w:rPr>
              <w:instrText xml:space="preserve"> PAGEREF _Toc157592719 \h </w:instrText>
            </w:r>
            <w:r w:rsidR="00B17EC2">
              <w:rPr>
                <w:noProof/>
                <w:webHidden/>
              </w:rPr>
            </w:r>
            <w:r w:rsidR="00B17EC2">
              <w:rPr>
                <w:noProof/>
                <w:webHidden/>
              </w:rPr>
              <w:fldChar w:fldCharType="separate"/>
            </w:r>
            <w:r w:rsidR="00B17EC2">
              <w:rPr>
                <w:noProof/>
                <w:webHidden/>
              </w:rPr>
              <w:t>11</w:t>
            </w:r>
            <w:r w:rsidR="00B17EC2">
              <w:rPr>
                <w:noProof/>
                <w:webHidden/>
              </w:rPr>
              <w:fldChar w:fldCharType="end"/>
            </w:r>
          </w:hyperlink>
        </w:p>
        <w:p w:rsidR="00B17EC2" w:rsidRDefault="00186A93">
          <w:pPr>
            <w:pStyle w:val="Sadraj1"/>
            <w:tabs>
              <w:tab w:val="left" w:pos="440"/>
              <w:tab w:val="right" w:leader="dot" w:pos="9062"/>
            </w:tabs>
            <w:rPr>
              <w:rFonts w:eastAsiaTheme="minorEastAsia"/>
              <w:noProof/>
              <w:lang w:eastAsia="hr-HR"/>
            </w:rPr>
          </w:pPr>
          <w:hyperlink w:anchor="_Toc157592720" w:history="1">
            <w:r w:rsidR="00B17EC2" w:rsidRPr="005A0D88">
              <w:rPr>
                <w:rStyle w:val="Hiperveza"/>
                <w:noProof/>
              </w:rPr>
              <w:t>4.</w:t>
            </w:r>
            <w:r w:rsidR="00B17EC2">
              <w:rPr>
                <w:rFonts w:eastAsiaTheme="minorEastAsia"/>
                <w:noProof/>
                <w:lang w:eastAsia="hr-HR"/>
              </w:rPr>
              <w:tab/>
            </w:r>
            <w:r w:rsidR="00B17EC2" w:rsidRPr="005A0D88">
              <w:rPr>
                <w:rStyle w:val="Hiperveza"/>
                <w:noProof/>
              </w:rPr>
              <w:t>Bilješke uz izvještaj o rashodima prema funkcijskoj klasifikaciji (obrazac RAS-funkcijski)</w:t>
            </w:r>
            <w:r w:rsidR="00B17EC2">
              <w:rPr>
                <w:noProof/>
                <w:webHidden/>
              </w:rPr>
              <w:tab/>
            </w:r>
            <w:r w:rsidR="00B17EC2">
              <w:rPr>
                <w:noProof/>
                <w:webHidden/>
              </w:rPr>
              <w:fldChar w:fldCharType="begin"/>
            </w:r>
            <w:r w:rsidR="00B17EC2">
              <w:rPr>
                <w:noProof/>
                <w:webHidden/>
              </w:rPr>
              <w:instrText xml:space="preserve"> PAGEREF _Toc157592720 \h </w:instrText>
            </w:r>
            <w:r w:rsidR="00B17EC2">
              <w:rPr>
                <w:noProof/>
                <w:webHidden/>
              </w:rPr>
            </w:r>
            <w:r w:rsidR="00B17EC2">
              <w:rPr>
                <w:noProof/>
                <w:webHidden/>
              </w:rPr>
              <w:fldChar w:fldCharType="separate"/>
            </w:r>
            <w:r w:rsidR="00B17EC2">
              <w:rPr>
                <w:noProof/>
                <w:webHidden/>
              </w:rPr>
              <w:t>11</w:t>
            </w:r>
            <w:r w:rsidR="00B17EC2">
              <w:rPr>
                <w:noProof/>
                <w:webHidden/>
              </w:rPr>
              <w:fldChar w:fldCharType="end"/>
            </w:r>
          </w:hyperlink>
        </w:p>
        <w:p w:rsidR="00B17EC2" w:rsidRDefault="00186A93">
          <w:pPr>
            <w:pStyle w:val="Sadraj1"/>
            <w:tabs>
              <w:tab w:val="left" w:pos="440"/>
              <w:tab w:val="right" w:leader="dot" w:pos="9062"/>
            </w:tabs>
            <w:rPr>
              <w:rFonts w:eastAsiaTheme="minorEastAsia"/>
              <w:noProof/>
              <w:lang w:eastAsia="hr-HR"/>
            </w:rPr>
          </w:pPr>
          <w:hyperlink w:anchor="_Toc157592721" w:history="1">
            <w:r w:rsidR="00B17EC2" w:rsidRPr="005A0D88">
              <w:rPr>
                <w:rStyle w:val="Hiperveza"/>
                <w:noProof/>
              </w:rPr>
              <w:t>5.</w:t>
            </w:r>
            <w:r w:rsidR="00B17EC2">
              <w:rPr>
                <w:rFonts w:eastAsiaTheme="minorEastAsia"/>
                <w:noProof/>
                <w:lang w:eastAsia="hr-HR"/>
              </w:rPr>
              <w:tab/>
            </w:r>
            <w:r w:rsidR="00B17EC2" w:rsidRPr="005A0D88">
              <w:rPr>
                <w:rStyle w:val="Hiperveza"/>
                <w:noProof/>
              </w:rPr>
              <w:t>Bilješke uz Izvještaj o obvezama (obrazac OBVEZE)</w:t>
            </w:r>
            <w:r w:rsidR="00B17EC2">
              <w:rPr>
                <w:noProof/>
                <w:webHidden/>
              </w:rPr>
              <w:tab/>
            </w:r>
            <w:r w:rsidR="00B17EC2">
              <w:rPr>
                <w:noProof/>
                <w:webHidden/>
              </w:rPr>
              <w:fldChar w:fldCharType="begin"/>
            </w:r>
            <w:r w:rsidR="00B17EC2">
              <w:rPr>
                <w:noProof/>
                <w:webHidden/>
              </w:rPr>
              <w:instrText xml:space="preserve"> PAGEREF _Toc157592721 \h </w:instrText>
            </w:r>
            <w:r w:rsidR="00B17EC2">
              <w:rPr>
                <w:noProof/>
                <w:webHidden/>
              </w:rPr>
            </w:r>
            <w:r w:rsidR="00B17EC2">
              <w:rPr>
                <w:noProof/>
                <w:webHidden/>
              </w:rPr>
              <w:fldChar w:fldCharType="separate"/>
            </w:r>
            <w:r w:rsidR="00B17EC2">
              <w:rPr>
                <w:noProof/>
                <w:webHidden/>
              </w:rPr>
              <w:t>11</w:t>
            </w:r>
            <w:r w:rsidR="00B17EC2">
              <w:rPr>
                <w:noProof/>
                <w:webHidden/>
              </w:rPr>
              <w:fldChar w:fldCharType="end"/>
            </w:r>
          </w:hyperlink>
        </w:p>
        <w:p w:rsidR="0021451B" w:rsidRDefault="0021451B">
          <w:r>
            <w:rPr>
              <w:b/>
              <w:bCs/>
            </w:rPr>
            <w:fldChar w:fldCharType="end"/>
          </w:r>
        </w:p>
      </w:sdtContent>
    </w:sdt>
    <w:p w:rsidR="00A0297A" w:rsidRDefault="00A0297A">
      <w:pPr>
        <w:spacing w:after="160" w:line="259" w:lineRule="auto"/>
      </w:pPr>
      <w:r>
        <w:br w:type="page"/>
      </w:r>
    </w:p>
    <w:p w:rsidR="0008370C" w:rsidRDefault="0008370C" w:rsidP="006C28DF">
      <w:pPr>
        <w:jc w:val="both"/>
      </w:pPr>
    </w:p>
    <w:p w:rsidR="001568DC" w:rsidRDefault="003D1561" w:rsidP="001568DC">
      <w:pPr>
        <w:pStyle w:val="Naslov1"/>
        <w:numPr>
          <w:ilvl w:val="0"/>
          <w:numId w:val="6"/>
        </w:numPr>
      </w:pPr>
      <w:bookmarkStart w:id="1" w:name="_Toc157592712"/>
      <w:r w:rsidRPr="003D1561">
        <w:t xml:space="preserve">Bilješke uz </w:t>
      </w:r>
      <w:r>
        <w:t>Izvještaj o prihodima i rashodima, primicima i izdacima (obrazac PR-RAS)</w:t>
      </w:r>
      <w:bookmarkEnd w:id="1"/>
    </w:p>
    <w:p w:rsidR="00C43460" w:rsidRDefault="00C43460" w:rsidP="008A745A">
      <w:pPr>
        <w:jc w:val="both"/>
      </w:pPr>
    </w:p>
    <w:p w:rsidR="00C43460" w:rsidRDefault="00C43460" w:rsidP="008A745A">
      <w:pPr>
        <w:jc w:val="both"/>
      </w:pPr>
      <w:r>
        <w:t xml:space="preserve">Ukupni </w:t>
      </w:r>
      <w:r w:rsidRPr="007E0864">
        <w:t>prihodi poslovanja Nastavnog zavoda za hitnu medicinu Grada Zagreba u razredu 6 porasli su sa 13.515.296,08 eur na 15.911.571,17 eur (in</w:t>
      </w:r>
      <w:r w:rsidRPr="00C43460">
        <w:t>deks promjene 118)</w:t>
      </w:r>
      <w:r>
        <w:t xml:space="preserve">, prihodi </w:t>
      </w:r>
      <w:r w:rsidR="00B37310">
        <w:t xml:space="preserve">su </w:t>
      </w:r>
      <w:r>
        <w:t>od prodaje neupotrebljivih vozila u razredu 7</w:t>
      </w:r>
      <w:r w:rsidRPr="00C43460">
        <w:t xml:space="preserve"> </w:t>
      </w:r>
      <w:r w:rsidR="00065A4F">
        <w:t xml:space="preserve">tek </w:t>
      </w:r>
      <w:r>
        <w:t xml:space="preserve">neznatno manji, pad sa </w:t>
      </w:r>
      <w:r w:rsidRPr="00C43460">
        <w:t>8.203,98 eur na 7.703,00 eur (indeks promjene 94)</w:t>
      </w:r>
      <w:r>
        <w:t>, a primitaka od novog zaduživanja nije bilo (razred 8).</w:t>
      </w:r>
    </w:p>
    <w:p w:rsidR="007F6F76" w:rsidRDefault="007F6F76" w:rsidP="008A745A">
      <w:pPr>
        <w:jc w:val="both"/>
      </w:pPr>
    </w:p>
    <w:p w:rsidR="007F6F76" w:rsidRDefault="007F6F76" w:rsidP="008A745A">
      <w:pPr>
        <w:jc w:val="both"/>
      </w:pPr>
      <w:r>
        <w:t>Uku</w:t>
      </w:r>
      <w:r w:rsidRPr="007E0864">
        <w:t xml:space="preserve">pni rashodi poslovanja Zavoda u razredu 3 porasli su sa 13.351.198,88 eur na 15.591.644,41 eur (indeks promjene 117). U razredu 4 Rashodi za nabavu nefinancijske imovine vidi se </w:t>
      </w:r>
      <w:r w:rsidR="00B37310">
        <w:t xml:space="preserve">veliko </w:t>
      </w:r>
      <w:r w:rsidRPr="007E0864">
        <w:t>smanjenje</w:t>
      </w:r>
      <w:r w:rsidRPr="007F6F76">
        <w:t xml:space="preserve"> sa 4.</w:t>
      </w:r>
      <w:r>
        <w:t xml:space="preserve">561.800,51 eur na 67.221,31 eur, što je </w:t>
      </w:r>
      <w:r w:rsidR="00B37310">
        <w:t>posljedica</w:t>
      </w:r>
      <w:r>
        <w:t xml:space="preserve"> </w:t>
      </w:r>
      <w:r w:rsidR="00065A4F">
        <w:t xml:space="preserve">investicije </w:t>
      </w:r>
      <w:r w:rsidR="00B37310">
        <w:t xml:space="preserve">2022. </w:t>
      </w:r>
      <w:r w:rsidR="00065A4F">
        <w:t>u nova</w:t>
      </w:r>
      <w:r>
        <w:t xml:space="preserve"> vozila, </w:t>
      </w:r>
      <w:r w:rsidR="00836671">
        <w:t>dok</w:t>
      </w:r>
      <w:r w:rsidR="00065A4F">
        <w:t xml:space="preserve"> se investiranje u</w:t>
      </w:r>
      <w:r>
        <w:t xml:space="preserve"> 2023. </w:t>
      </w:r>
      <w:r w:rsidR="00836671">
        <w:t>odnosi</w:t>
      </w:r>
      <w:r w:rsidR="00065A4F">
        <w:t xml:space="preserve"> </w:t>
      </w:r>
      <w:r w:rsidR="00A56F57">
        <w:t xml:space="preserve">primarno </w:t>
      </w:r>
      <w:r w:rsidR="00065A4F">
        <w:t>na</w:t>
      </w:r>
      <w:r w:rsidR="00836671">
        <w:t xml:space="preserve"> uređenje prijavno-dojavne jedinice</w:t>
      </w:r>
      <w:r w:rsidR="00A56F57">
        <w:t xml:space="preserve"> i </w:t>
      </w:r>
      <w:r w:rsidR="00836671">
        <w:t xml:space="preserve">nabavu mehaničke medicinske opreme, ponešto računalne opreme, te na nužne </w:t>
      </w:r>
      <w:r w:rsidR="00065A4F">
        <w:t xml:space="preserve">strojeve za </w:t>
      </w:r>
      <w:r w:rsidR="00836671">
        <w:t>automehaničarsku radionicu.</w:t>
      </w:r>
      <w:r>
        <w:t xml:space="preserve"> </w:t>
      </w:r>
      <w:r w:rsidRPr="007F6F76">
        <w:t xml:space="preserve">Izdaci za financijsku imovinu i otplate zajmova </w:t>
      </w:r>
      <w:r>
        <w:t>vidljivi u razredu 5 imaju porast</w:t>
      </w:r>
      <w:r w:rsidRPr="007F6F76">
        <w:t xml:space="preserve"> sa 453.613,38 eur na 907.226,76 eur (indeks promjene 200)</w:t>
      </w:r>
      <w:r>
        <w:t xml:space="preserve"> sukladno otplatnom planu dugoročnog kredita za </w:t>
      </w:r>
      <w:r w:rsidRPr="007F6F76">
        <w:t>namjensko investicijsko ulaganje u kupnju novih vozila</w:t>
      </w:r>
      <w:r w:rsidR="00065A4F">
        <w:t xml:space="preserve"> odobrenom u 2022.</w:t>
      </w:r>
    </w:p>
    <w:p w:rsidR="00065A4F" w:rsidRDefault="00065A4F" w:rsidP="008A745A">
      <w:pPr>
        <w:jc w:val="both"/>
      </w:pPr>
    </w:p>
    <w:p w:rsidR="007E0864" w:rsidRDefault="00A56F57" w:rsidP="008A745A">
      <w:pPr>
        <w:jc w:val="both"/>
      </w:pPr>
      <w:r>
        <w:t>U sferi poslovanja na poziciji VIŠAK PRIHODA POSLOVANJA</w:t>
      </w:r>
      <w:r w:rsidR="007E0864">
        <w:t xml:space="preserve"> (oznaka </w:t>
      </w:r>
      <w:r w:rsidR="007E0864" w:rsidRPr="007E0864">
        <w:t>X001</w:t>
      </w:r>
      <w:r w:rsidR="007E0864">
        <w:t>)</w:t>
      </w:r>
      <w:r>
        <w:t xml:space="preserve"> Zavod bilježi, dakle, višak, kao i lani</w:t>
      </w:r>
      <w:r w:rsidR="007E0864">
        <w:t>,</w:t>
      </w:r>
      <w:r>
        <w:t xml:space="preserve"> uz pozitivnu </w:t>
      </w:r>
      <w:r w:rsidRPr="00A56F57">
        <w:t>promjenu</w:t>
      </w:r>
      <w:r w:rsidR="007E0864">
        <w:t>,</w:t>
      </w:r>
      <w:r w:rsidRPr="00A56F57">
        <w:t xml:space="preserve"> sa 164.097,20 eur na 319.926,76 eur (indeks promjene 195)</w:t>
      </w:r>
      <w:r w:rsidR="007E0864">
        <w:t xml:space="preserve">. U ovom dijelu izvještaja iskazani su </w:t>
      </w:r>
      <w:r w:rsidRPr="00A56F57">
        <w:t xml:space="preserve">prihodi za otplatu kredita </w:t>
      </w:r>
      <w:r w:rsidR="007E0864">
        <w:t xml:space="preserve">i </w:t>
      </w:r>
      <w:r w:rsidRPr="00A56F57">
        <w:t>vidljivi su kao prihodi poslovanja</w:t>
      </w:r>
      <w:r w:rsidR="007E0864">
        <w:t xml:space="preserve">. </w:t>
      </w:r>
      <w:r w:rsidR="007E0864" w:rsidRPr="007E0864">
        <w:t xml:space="preserve">Na kontu </w:t>
      </w:r>
      <w:r w:rsidR="007E0864">
        <w:t>92221 Manjak prihoda poslovanja</w:t>
      </w:r>
      <w:r w:rsidR="007E0864" w:rsidRPr="007E0864">
        <w:t>-preneseni</w:t>
      </w:r>
      <w:r w:rsidR="007E0864">
        <w:t>,</w:t>
      </w:r>
      <w:r w:rsidR="007E0864" w:rsidRPr="007E0864">
        <w:t xml:space="preserve"> </w:t>
      </w:r>
      <w:r w:rsidR="007E0864">
        <w:t>Zavod</w:t>
      </w:r>
      <w:r w:rsidR="007E0864" w:rsidRPr="007E0864">
        <w:t xml:space="preserve"> bilježi </w:t>
      </w:r>
      <w:r w:rsidR="007E0864">
        <w:t>porast</w:t>
      </w:r>
      <w:r w:rsidR="007E0864" w:rsidRPr="007E0864">
        <w:t xml:space="preserve"> sa 392.680,20 eur na 699.659,14 eur (indeks promjene 178)</w:t>
      </w:r>
      <w:r w:rsidR="00B37310">
        <w:t>.</w:t>
      </w:r>
    </w:p>
    <w:p w:rsidR="00F0378E" w:rsidRDefault="00F0378E" w:rsidP="008A745A">
      <w:pPr>
        <w:jc w:val="both"/>
      </w:pPr>
    </w:p>
    <w:p w:rsidR="00F0378E" w:rsidRDefault="001E5C3F" w:rsidP="008A745A">
      <w:pPr>
        <w:jc w:val="both"/>
      </w:pPr>
      <w:r>
        <w:t xml:space="preserve">Na kontu </w:t>
      </w:r>
      <w:r w:rsidR="003D15A6" w:rsidRPr="003D15A6">
        <w:t>MANJAK PRIHODA OD NEFINANCIJSKE IMOVINE (šifre 4-7</w:t>
      </w:r>
      <w:r w:rsidR="003D15A6">
        <w:t>, oznaka Y002</w:t>
      </w:r>
      <w:r w:rsidR="003D15A6" w:rsidRPr="003D15A6">
        <w:t xml:space="preserve">) </w:t>
      </w:r>
      <w:r>
        <w:t xml:space="preserve">Zavod </w:t>
      </w:r>
      <w:r w:rsidR="003D15A6" w:rsidRPr="003D15A6">
        <w:t xml:space="preserve">bilježi </w:t>
      </w:r>
      <w:r w:rsidR="003D15A6">
        <w:t>smanjenje manjka</w:t>
      </w:r>
      <w:r w:rsidR="003D15A6" w:rsidRPr="003D15A6">
        <w:t xml:space="preserve"> sa 4.553.596,53 eur na</w:t>
      </w:r>
      <w:r w:rsidR="00B37310">
        <w:t xml:space="preserve"> 59.518,31 eur, iz razloga prethodno opisanih kretanja prihoda i rashoda od nefinancijske imovine.</w:t>
      </w:r>
    </w:p>
    <w:p w:rsidR="00F6391F" w:rsidRDefault="00F6391F" w:rsidP="008A745A">
      <w:pPr>
        <w:jc w:val="both"/>
      </w:pPr>
    </w:p>
    <w:p w:rsidR="001E5C3F" w:rsidRDefault="00333764" w:rsidP="00F6391F">
      <w:pPr>
        <w:jc w:val="both"/>
      </w:pPr>
      <w:r>
        <w:t>Gledajući rezultat prije primitaka i izdataka, n</w:t>
      </w:r>
      <w:r w:rsidR="00F6391F">
        <w:t xml:space="preserve">a poziciji UKUPNI PRIHODI (šifre 6+7) Nastavni zavod za hitnu medicinu Grada Zagreba bilježi </w:t>
      </w:r>
      <w:r w:rsidR="00E73E09">
        <w:t>povećanje</w:t>
      </w:r>
      <w:r w:rsidR="00F6391F">
        <w:t xml:space="preserve"> sa 13.523.500,06 eur na 15.919.274,17 eur (indeks promjene 118)</w:t>
      </w:r>
      <w:r w:rsidR="00B37310">
        <w:t>, dok n</w:t>
      </w:r>
      <w:r w:rsidR="00F6391F">
        <w:t xml:space="preserve">a poziciji UKUPNI RASHODI (šifre Z005+4) </w:t>
      </w:r>
      <w:r w:rsidR="00B37310">
        <w:t>Zavod</w:t>
      </w:r>
      <w:r>
        <w:t xml:space="preserve"> </w:t>
      </w:r>
      <w:r w:rsidR="00F6391F">
        <w:t xml:space="preserve">bilježi </w:t>
      </w:r>
      <w:r w:rsidR="00E73E09">
        <w:t>smanjenje</w:t>
      </w:r>
      <w:r w:rsidR="00F6391F">
        <w:t xml:space="preserve"> sa 17.912.999,39 eur na 15.658.865,72 eur (indeks promjene 87)</w:t>
      </w:r>
      <w:r>
        <w:t>.</w:t>
      </w:r>
    </w:p>
    <w:p w:rsidR="00E73E09" w:rsidRDefault="00E73E09" w:rsidP="00F6391F">
      <w:pPr>
        <w:jc w:val="both"/>
      </w:pPr>
    </w:p>
    <w:p w:rsidR="00E73E09" w:rsidRDefault="003436D0" w:rsidP="003436D0">
      <w:pPr>
        <w:jc w:val="both"/>
      </w:pPr>
      <w:r>
        <w:t xml:space="preserve">Kada u sliku poslovanja uključimo manjak primitaka od zaduživanja, na poziciji UKUPNI PRIHODI I PRIMICI (šifre X067+8) zavod bilježi smanjenje sa 18.059.633,84 eur na 15.919.274,17 eur (indeks promjene 88), baš kao i na poziciji UKUPNI RASHODI I IZDACI (šifre Y034+5) sa 18.366.612,77 eur na 16.566.092,48 eur (indeks promjene 90). Time se u konačnici iskazuje </w:t>
      </w:r>
      <w:r w:rsidRPr="003436D0">
        <w:t xml:space="preserve">manjak prihoda i primitaka za pokriće u sljedećem razdoblju </w:t>
      </w:r>
      <w:r>
        <w:t xml:space="preserve">u iznosu od </w:t>
      </w:r>
      <w:r w:rsidRPr="003436D0">
        <w:t>1.346.477,45</w:t>
      </w:r>
      <w:r>
        <w:t xml:space="preserve"> eur, a koji se sastoji od manjka</w:t>
      </w:r>
      <w:r w:rsidRPr="003436D0">
        <w:t xml:space="preserve"> prihoda i primitaka tekuće godine u iznosu od 646.818,31</w:t>
      </w:r>
      <w:r>
        <w:t xml:space="preserve"> i prenesenog manjka od godine ranije u iznosu od </w:t>
      </w:r>
      <w:r w:rsidRPr="003436D0">
        <w:t>699.659,14</w:t>
      </w:r>
      <w:r w:rsidR="000111BC">
        <w:t xml:space="preserve"> eur.</w:t>
      </w:r>
    </w:p>
    <w:p w:rsidR="00F0378E" w:rsidRDefault="00F0378E" w:rsidP="008A745A">
      <w:pPr>
        <w:jc w:val="both"/>
      </w:pPr>
    </w:p>
    <w:p w:rsidR="00065A4F" w:rsidRDefault="00065A4F" w:rsidP="008A745A">
      <w:pPr>
        <w:jc w:val="both"/>
      </w:pPr>
      <w:r>
        <w:t>U nastavku slijede pojašnjenja značajnijih promjena po odabranim kontima.</w:t>
      </w:r>
    </w:p>
    <w:p w:rsidR="00065A4F" w:rsidRDefault="00065A4F" w:rsidP="008A745A">
      <w:pPr>
        <w:jc w:val="both"/>
      </w:pPr>
    </w:p>
    <w:p w:rsidR="00131002" w:rsidRDefault="00131002" w:rsidP="008A745A">
      <w:pPr>
        <w:jc w:val="both"/>
      </w:pPr>
      <w:r>
        <w:t xml:space="preserve">Na kontu </w:t>
      </w:r>
      <w:r w:rsidRPr="008A745A">
        <w:rPr>
          <w:b/>
        </w:rPr>
        <w:t>6341</w:t>
      </w:r>
      <w:r>
        <w:t xml:space="preserve"> Tekuće pomoći od izvanproračunskih korisnika </w:t>
      </w:r>
      <w:r w:rsidR="00542690">
        <w:t>Zavod u 2023. počinje</w:t>
      </w:r>
      <w:r w:rsidR="008231E2">
        <w:t>,</w:t>
      </w:r>
      <w:r w:rsidR="00542690">
        <w:t xml:space="preserve"> temeljem preporuka</w:t>
      </w:r>
      <w:r w:rsidR="007D2AE6">
        <w:t xml:space="preserve"> iz stručne literature</w:t>
      </w:r>
      <w:r w:rsidR="008231E2">
        <w:t>,</w:t>
      </w:r>
      <w:r w:rsidR="00542690">
        <w:t xml:space="preserve"> knjižiti prihode </w:t>
      </w:r>
      <w:r w:rsidR="00542690" w:rsidRPr="00542690">
        <w:t xml:space="preserve">temeljem </w:t>
      </w:r>
      <w:r w:rsidR="00542690" w:rsidRPr="008A745A">
        <w:rPr>
          <w:i/>
        </w:rPr>
        <w:t>Odluke o posebnoj nagradi radnicima u sustavu zdravstva koji obavljaju poslove vezane za pružanje zdravstvene skrbi pacijentima oboljelima od bolesti Covid-19</w:t>
      </w:r>
      <w:r w:rsidR="00542690" w:rsidRPr="00542690">
        <w:t xml:space="preserve"> </w:t>
      </w:r>
      <w:r w:rsidR="007D2AE6">
        <w:t>(NN</w:t>
      </w:r>
      <w:r w:rsidR="00542690">
        <w:t>136/20), ranije knjiženo na 6731</w:t>
      </w:r>
      <w:r w:rsidR="007D2AE6">
        <w:t>.</w:t>
      </w:r>
    </w:p>
    <w:p w:rsidR="008A745A" w:rsidRDefault="008A745A" w:rsidP="008A745A">
      <w:pPr>
        <w:jc w:val="both"/>
      </w:pPr>
    </w:p>
    <w:p w:rsidR="00131002" w:rsidRDefault="00131002" w:rsidP="008A745A">
      <w:pPr>
        <w:jc w:val="both"/>
      </w:pPr>
      <w:r>
        <w:t xml:space="preserve">Na kontu </w:t>
      </w:r>
      <w:r w:rsidRPr="008A745A">
        <w:rPr>
          <w:b/>
        </w:rPr>
        <w:t>6361</w:t>
      </w:r>
      <w:r>
        <w:t xml:space="preserve"> Tekuće pomoći proračunskim korisnicima iz proračuna koji im nije nadležan </w:t>
      </w:r>
      <w:r w:rsidR="000467BD">
        <w:t>Zavod</w:t>
      </w:r>
      <w:r>
        <w:t xml:space="preserve"> bilježi </w:t>
      </w:r>
      <w:r w:rsidR="007D2AE6">
        <w:t>smanjenje</w:t>
      </w:r>
      <w:r>
        <w:t xml:space="preserve"> </w:t>
      </w:r>
      <w:r w:rsidR="007D2AE6">
        <w:t xml:space="preserve">prihoda </w:t>
      </w:r>
      <w:r>
        <w:t>sa 434.253,31 eur na 352.635,96 eur (indeks promjene 81)</w:t>
      </w:r>
      <w:r w:rsidR="007D2AE6">
        <w:t xml:space="preserve"> što odgovara refundacijama (namjenskoj pomoći) po Odluci</w:t>
      </w:r>
      <w:r w:rsidR="007D2AE6" w:rsidRPr="007D2AE6">
        <w:t xml:space="preserve"> o isplati razlike iznosa uvećanja plaće za prekovremeni rad radnicima u djelatnosti zdravstva i zdravstvenog osiguranja </w:t>
      </w:r>
      <w:r w:rsidR="007D2AE6">
        <w:t xml:space="preserve">(NN </w:t>
      </w:r>
      <w:r w:rsidR="007D2AE6" w:rsidRPr="007D2AE6">
        <w:t>101/21 i 147/21</w:t>
      </w:r>
      <w:r w:rsidR="007D2AE6">
        <w:t xml:space="preserve">) i </w:t>
      </w:r>
      <w:r w:rsidR="007D2AE6" w:rsidRPr="007D2AE6">
        <w:t>Odluci Vlade RH o namjenskoj pomoći zdravstvenim ustanovama čiji je osnivač republika hrvatska i jedinica lokalne i područne (regionalne) samouprave (NN 87/23) kojom se osigurava namjenska pomoć za pokriće troškova po isplaćenim pravomoćnim sudskim presudama koje se odnose na sporove za isplatu razlike plaće zbog neuvećanja osnovice za 6% u 2016. godini u javnim službama</w:t>
      </w:r>
      <w:r w:rsidR="008A745A">
        <w:t>.</w:t>
      </w:r>
    </w:p>
    <w:p w:rsidR="008A745A" w:rsidRDefault="008A745A" w:rsidP="008A745A">
      <w:pPr>
        <w:jc w:val="both"/>
      </w:pPr>
    </w:p>
    <w:p w:rsidR="00131002" w:rsidRDefault="00131002" w:rsidP="009C6A4B">
      <w:pPr>
        <w:jc w:val="both"/>
      </w:pPr>
      <w:r>
        <w:t xml:space="preserve">Na kontu </w:t>
      </w:r>
      <w:r w:rsidRPr="008A745A">
        <w:rPr>
          <w:b/>
        </w:rPr>
        <w:t>6381</w:t>
      </w:r>
      <w:r>
        <w:t xml:space="preserve"> Tekuće pomoći temeljem prijenosa  EU sredstava </w:t>
      </w:r>
      <w:r w:rsidR="000467BD">
        <w:t>Zavod</w:t>
      </w:r>
      <w:r>
        <w:t xml:space="preserve"> bilježi </w:t>
      </w:r>
      <w:r w:rsidR="007668CF">
        <w:t>smanjenje</w:t>
      </w:r>
      <w:r>
        <w:t xml:space="preserve"> sa 118.860,89 eur na 90.601,74 eur (indeks promjene 76)</w:t>
      </w:r>
      <w:r w:rsidR="007668CF">
        <w:t xml:space="preserve"> što je u skladu sa privođenjem kraju 2</w:t>
      </w:r>
      <w:r w:rsidR="002F26BF">
        <w:t xml:space="preserve"> </w:t>
      </w:r>
      <w:r w:rsidR="00A656C9">
        <w:t xml:space="preserve">od ukupno </w:t>
      </w:r>
      <w:r w:rsidR="00AD1D0B">
        <w:t>4</w:t>
      </w:r>
      <w:r w:rsidR="007668CF">
        <w:t xml:space="preserve"> projekta Specijalističkog usavršavanja doktora medicine</w:t>
      </w:r>
      <w:r w:rsidR="00AD1D0B">
        <w:t xml:space="preserve"> (ESF, OPULJP 2014-2020)</w:t>
      </w:r>
      <w:r w:rsidR="007668CF">
        <w:t xml:space="preserve"> odnosno završetka perioda prihvatljivosti troškova s 31.12.</w:t>
      </w:r>
      <w:r w:rsidR="004A41B6">
        <w:t>20</w:t>
      </w:r>
      <w:r w:rsidR="007668CF">
        <w:t>23. za preostala 2 pro</w:t>
      </w:r>
      <w:r w:rsidR="00AD1D0B">
        <w:t>j</w:t>
      </w:r>
      <w:r w:rsidR="007668CF">
        <w:t>ekta</w:t>
      </w:r>
      <w:r w:rsidR="008A745A">
        <w:t>.</w:t>
      </w:r>
    </w:p>
    <w:p w:rsidR="008A745A" w:rsidRDefault="008A745A" w:rsidP="008A745A"/>
    <w:p w:rsidR="00131002" w:rsidRDefault="00131002" w:rsidP="00F83833">
      <w:pPr>
        <w:jc w:val="both"/>
      </w:pPr>
      <w:r>
        <w:t xml:space="preserve">Na kontu </w:t>
      </w:r>
      <w:r w:rsidRPr="00963A7F">
        <w:rPr>
          <w:b/>
        </w:rPr>
        <w:t>6526</w:t>
      </w:r>
      <w:r>
        <w:t xml:space="preserve"> Ostali nespomenuti prihodi </w:t>
      </w:r>
      <w:r w:rsidR="000467BD">
        <w:t>Zavod</w:t>
      </w:r>
      <w:r>
        <w:t xml:space="preserve"> bilježi </w:t>
      </w:r>
      <w:r w:rsidR="008231E2">
        <w:t>smanjenje</w:t>
      </w:r>
      <w:r>
        <w:t xml:space="preserve"> sa 68.877,13 eur na 36.727,46 eur (indeks promjene 53)</w:t>
      </w:r>
      <w:r w:rsidR="00963A7F">
        <w:t xml:space="preserve"> zbog manje odš</w:t>
      </w:r>
      <w:r w:rsidR="001E3687">
        <w:t>t</w:t>
      </w:r>
      <w:r w:rsidR="00963A7F">
        <w:t xml:space="preserve">etnih zahtjeva a time i </w:t>
      </w:r>
      <w:r w:rsidR="001E3687">
        <w:t xml:space="preserve">manje </w:t>
      </w:r>
      <w:r w:rsidR="00963A7F">
        <w:t>pripadajućih prihoda.</w:t>
      </w:r>
    </w:p>
    <w:p w:rsidR="00963A7F" w:rsidRDefault="00963A7F" w:rsidP="00F83833">
      <w:pPr>
        <w:jc w:val="both"/>
      </w:pPr>
    </w:p>
    <w:p w:rsidR="00131002" w:rsidRDefault="00131002" w:rsidP="00F83833">
      <w:pPr>
        <w:jc w:val="both"/>
      </w:pPr>
      <w:r>
        <w:lastRenderedPageBreak/>
        <w:t xml:space="preserve">Na kontu </w:t>
      </w:r>
      <w:r w:rsidRPr="001E3687">
        <w:rPr>
          <w:b/>
        </w:rPr>
        <w:t>6615</w:t>
      </w:r>
      <w:r>
        <w:t xml:space="preserve"> Prihodi od pruženih usluga </w:t>
      </w:r>
      <w:r w:rsidR="000467BD">
        <w:t>Zavod</w:t>
      </w:r>
      <w:r>
        <w:t xml:space="preserve"> bilježi </w:t>
      </w:r>
      <w:r w:rsidR="001E3687">
        <w:t>smanjenje</w:t>
      </w:r>
      <w:r>
        <w:t xml:space="preserve"> sa 318.816,92 eur na 263.012,29 eur (indeks promjene 82)</w:t>
      </w:r>
      <w:r w:rsidR="001E3687">
        <w:t xml:space="preserve"> ponajviše zbog manje traženih usluga dežurstva u 2023. u odnosu na 2022. godinu.</w:t>
      </w:r>
    </w:p>
    <w:p w:rsidR="001E3687" w:rsidRDefault="001E3687" w:rsidP="00F83833">
      <w:pPr>
        <w:jc w:val="both"/>
      </w:pPr>
    </w:p>
    <w:p w:rsidR="00131002" w:rsidRDefault="001E3687" w:rsidP="00F83833">
      <w:pPr>
        <w:jc w:val="both"/>
      </w:pPr>
      <w:r>
        <w:t xml:space="preserve">Na kontu </w:t>
      </w:r>
      <w:r w:rsidRPr="00F83833">
        <w:rPr>
          <w:b/>
        </w:rPr>
        <w:t>6711</w:t>
      </w:r>
      <w:r>
        <w:t xml:space="preserve"> Prihodi iz </w:t>
      </w:r>
      <w:r w:rsidR="00131002">
        <w:t xml:space="preserve">nadležnog proračuna za financiranje rashoda poslovanja </w:t>
      </w:r>
      <w:r w:rsidR="000467BD">
        <w:t>Zavod</w:t>
      </w:r>
      <w:r w:rsidR="00131002">
        <w:t xml:space="preserve"> bilježi promjenu sa 368.258,44 eur na 380.664,63 eur (indeks promjene 103)</w:t>
      </w:r>
      <w:r>
        <w:t xml:space="preserve"> što je rezultat isplate od Grada Zagreba (osnivača) po zaostalim rashodima poslovanja iz 2021. za mrežnu i sistemsku opremu</w:t>
      </w:r>
      <w:r w:rsidR="002E3A76">
        <w:t xml:space="preserve">, kao i dodatnih troškova poslovanja zatraženih II. izmjenom financijskog plana, dok </w:t>
      </w:r>
      <w:r w:rsidR="00CC7ADB">
        <w:t xml:space="preserve">su sredstva za otplatu </w:t>
      </w:r>
      <w:r w:rsidR="00822E84">
        <w:t xml:space="preserve">kamate </w:t>
      </w:r>
      <w:r w:rsidR="00CC7ADB">
        <w:t>kredita u 2023. povećana sukladno otplatnom planu (</w:t>
      </w:r>
      <w:r w:rsidR="00822E84">
        <w:t>u 2022. kamata za mjesec dana korištenja naspram kamate za 12-mjesečno razdoblje u 2023.</w:t>
      </w:r>
      <w:r w:rsidR="00CC7ADB">
        <w:t>).</w:t>
      </w:r>
    </w:p>
    <w:p w:rsidR="00CC7ADB" w:rsidRDefault="00CC7ADB" w:rsidP="007A08B7">
      <w:pPr>
        <w:jc w:val="both"/>
      </w:pPr>
    </w:p>
    <w:p w:rsidR="00131002" w:rsidRDefault="00131002" w:rsidP="007A08B7">
      <w:pPr>
        <w:jc w:val="both"/>
      </w:pPr>
      <w:r>
        <w:t xml:space="preserve">Na kontu </w:t>
      </w:r>
      <w:r w:rsidRPr="00745D8D">
        <w:rPr>
          <w:b/>
        </w:rPr>
        <w:t>6712</w:t>
      </w:r>
      <w:r>
        <w:t xml:space="preserve"> Prihodi iz nadležnog proračuna za financiranje rashoda za nabavu nefinancijske imovine</w:t>
      </w:r>
      <w:r w:rsidR="000746A2">
        <w:t xml:space="preserve"> upisani u 2022. u iznosu</w:t>
      </w:r>
      <w:r>
        <w:t xml:space="preserve"> 477.008,89 eur </w:t>
      </w:r>
      <w:r w:rsidR="00186926">
        <w:t xml:space="preserve">odnose se </w:t>
      </w:r>
      <w:r w:rsidR="000746A2">
        <w:t xml:space="preserve">de facto </w:t>
      </w:r>
      <w:r w:rsidR="00186926">
        <w:t>na</w:t>
      </w:r>
      <w:r w:rsidR="000746A2">
        <w:t xml:space="preserve"> </w:t>
      </w:r>
      <w:r w:rsidR="000746A2" w:rsidRPr="000746A2">
        <w:rPr>
          <w:b/>
        </w:rPr>
        <w:t>6714</w:t>
      </w:r>
      <w:r w:rsidR="000746A2">
        <w:t xml:space="preserve"> </w:t>
      </w:r>
      <w:r w:rsidR="000746A2" w:rsidRPr="000746A2">
        <w:t>Prihodi od nadležnog proračuna za financiranje izd</w:t>
      </w:r>
      <w:r w:rsidR="000746A2">
        <w:t xml:space="preserve">ataka za financijsku imovinu i </w:t>
      </w:r>
      <w:r w:rsidR="000746A2" w:rsidRPr="000746A2">
        <w:t>otplatu zajmova</w:t>
      </w:r>
      <w:r w:rsidR="000746A2">
        <w:t xml:space="preserve">, </w:t>
      </w:r>
      <w:r w:rsidR="00186926">
        <w:t>a predstavljaju</w:t>
      </w:r>
      <w:r w:rsidR="00822E84">
        <w:t xml:space="preserve"> otplatu glavnice kredita</w:t>
      </w:r>
      <w:r w:rsidR="00D1450A">
        <w:t>.</w:t>
      </w:r>
      <w:r w:rsidR="00186926">
        <w:t xml:space="preserve"> Prikazana su u 2022. na 6712 radi usklade evidencije Zavoda sa </w:t>
      </w:r>
      <w:r w:rsidR="00A6764B">
        <w:t xml:space="preserve">(neispravnom) </w:t>
      </w:r>
      <w:r w:rsidR="00186926">
        <w:t>evidencijom Osnivača.</w:t>
      </w:r>
      <w:r w:rsidR="000224C4">
        <w:t xml:space="preserve"> </w:t>
      </w:r>
      <w:r w:rsidR="00D1450A">
        <w:t>S</w:t>
      </w:r>
      <w:r w:rsidR="00822E84" w:rsidRPr="00822E84">
        <w:t xml:space="preserve">redstva za otplatu </w:t>
      </w:r>
      <w:r w:rsidR="00186926">
        <w:t>glavnice</w:t>
      </w:r>
      <w:r w:rsidR="00822E84" w:rsidRPr="00822E84">
        <w:t xml:space="preserve"> kredita </w:t>
      </w:r>
      <w:r w:rsidR="000224C4">
        <w:t xml:space="preserve">na 6714 </w:t>
      </w:r>
      <w:r w:rsidR="00822E84" w:rsidRPr="00822E84">
        <w:t xml:space="preserve">u 2023. povećana </w:t>
      </w:r>
      <w:r w:rsidR="00186926">
        <w:t xml:space="preserve">su </w:t>
      </w:r>
      <w:r w:rsidR="00822E84" w:rsidRPr="00822E84">
        <w:t>sukladno otpl</w:t>
      </w:r>
      <w:r w:rsidR="00186926">
        <w:t>atnom planu (dvije rate u 2023. naspram jedne rate</w:t>
      </w:r>
      <w:r w:rsidR="00822E84" w:rsidRPr="00822E84">
        <w:t xml:space="preserve"> u 2022.).</w:t>
      </w:r>
      <w:r w:rsidR="000224C4">
        <w:t xml:space="preserve"> Na kontu 6712 u 2023. iznos od </w:t>
      </w:r>
      <w:r>
        <w:t>3</w:t>
      </w:r>
      <w:r w:rsidR="000746A2">
        <w:t xml:space="preserve">7.698,53 eur za 2023. odnosi se na </w:t>
      </w:r>
      <w:r w:rsidR="00A6764B">
        <w:t xml:space="preserve">sredstva za </w:t>
      </w:r>
      <w:r w:rsidR="00A6764B" w:rsidRPr="00A6764B">
        <w:t>uređenje medicinske prijavno-dojavne jedinice</w:t>
      </w:r>
      <w:r w:rsidR="00A6764B">
        <w:t xml:space="preserve"> i </w:t>
      </w:r>
      <w:r w:rsidR="00DA72F2">
        <w:t>opremu</w:t>
      </w:r>
      <w:r w:rsidR="00A6764B">
        <w:t xml:space="preserve"> za Projekt edukacije laika.</w:t>
      </w:r>
    </w:p>
    <w:p w:rsidR="00E25351" w:rsidRDefault="00E25351" w:rsidP="007A08B7">
      <w:pPr>
        <w:jc w:val="both"/>
      </w:pPr>
    </w:p>
    <w:p w:rsidR="00664AB9" w:rsidRDefault="00664AB9" w:rsidP="007A08B7">
      <w:pPr>
        <w:jc w:val="both"/>
      </w:pPr>
      <w:r w:rsidRPr="00664AB9">
        <w:t xml:space="preserve">Na kontu </w:t>
      </w:r>
      <w:r w:rsidRPr="00664AB9">
        <w:rPr>
          <w:b/>
        </w:rPr>
        <w:t>673</w:t>
      </w:r>
      <w:r w:rsidRPr="00664AB9">
        <w:t xml:space="preserve"> Prihodi od HZZO-a na temelju ugovornih obveza </w:t>
      </w:r>
      <w:r>
        <w:t>Zavod</w:t>
      </w:r>
      <w:r w:rsidRPr="00664AB9">
        <w:t xml:space="preserve"> bilježi </w:t>
      </w:r>
      <w:r>
        <w:t xml:space="preserve">povećanje prihoda </w:t>
      </w:r>
      <w:r w:rsidRPr="00664AB9">
        <w:t>sa 11.728.975,58 eur na 13.335.194,06 eur (indeks promjene 114)</w:t>
      </w:r>
      <w:r>
        <w:t>, što je u skladu s ugovornim odnosom ali u nekim mjesecima nedostatno za rashode za plaće. Privremeni dodatak se u skladu s naputkom iz okružnice knjiži na 673, dok se „Covid nagrada“ knjiži na 634, što je spomenuto na početku.</w:t>
      </w:r>
    </w:p>
    <w:p w:rsidR="00664AB9" w:rsidRDefault="00664AB9" w:rsidP="007A08B7">
      <w:pPr>
        <w:jc w:val="both"/>
      </w:pPr>
    </w:p>
    <w:p w:rsidR="00131002" w:rsidRDefault="00131002" w:rsidP="007A08B7">
      <w:pPr>
        <w:jc w:val="both"/>
      </w:pPr>
      <w:r>
        <w:t xml:space="preserve">Na kontu </w:t>
      </w:r>
      <w:r w:rsidRPr="00C12971">
        <w:rPr>
          <w:b/>
        </w:rPr>
        <w:t>3212</w:t>
      </w:r>
      <w:r>
        <w:t xml:space="preserve"> Naknade za prijevoz, za rad na terenu i odvojeni život </w:t>
      </w:r>
      <w:r w:rsidR="000467BD">
        <w:t>Zavod</w:t>
      </w:r>
      <w:r>
        <w:t xml:space="preserve"> bilježi promjenu sa 338.056,46 eur na 357.988,65 eur (indeks promjene 106)</w:t>
      </w:r>
      <w:r w:rsidR="00D7101D">
        <w:t xml:space="preserve"> u skladu s kretanjem broja djelatnika te troškova prijevoza po prijeđenom kilometru koje određuje </w:t>
      </w:r>
      <w:r w:rsidR="00D7101D" w:rsidRPr="00D7101D">
        <w:t>Ministarstvo rada, mirovinskog sustava, obitelji i socijalne politike</w:t>
      </w:r>
      <w:r w:rsidR="00D7101D">
        <w:t>.</w:t>
      </w:r>
    </w:p>
    <w:p w:rsidR="00D7101D" w:rsidRDefault="00D7101D" w:rsidP="007A08B7">
      <w:pPr>
        <w:jc w:val="both"/>
      </w:pPr>
    </w:p>
    <w:p w:rsidR="00131002" w:rsidRDefault="00131002" w:rsidP="00611DE0">
      <w:pPr>
        <w:jc w:val="both"/>
      </w:pPr>
      <w:r>
        <w:t xml:space="preserve">Na kontu </w:t>
      </w:r>
      <w:r w:rsidRPr="00877A08">
        <w:rPr>
          <w:b/>
        </w:rPr>
        <w:t>3213</w:t>
      </w:r>
      <w:r>
        <w:t xml:space="preserve"> Stručno usavršavanje zaposlenika </w:t>
      </w:r>
      <w:r w:rsidR="000467BD">
        <w:t>Zavod</w:t>
      </w:r>
      <w:r>
        <w:t xml:space="preserve"> bilježi </w:t>
      </w:r>
      <w:r w:rsidR="00877A08">
        <w:t>povećanje</w:t>
      </w:r>
      <w:r>
        <w:t xml:space="preserve"> sa 4.739,81 eur na 11.616,24 eur (indeks promjene 245)</w:t>
      </w:r>
      <w:r w:rsidR="00877A08">
        <w:t>, najviše za tečajeve i stručne ispite.</w:t>
      </w:r>
    </w:p>
    <w:p w:rsidR="00877A08" w:rsidRDefault="00877A08" w:rsidP="00611DE0">
      <w:pPr>
        <w:jc w:val="both"/>
      </w:pPr>
    </w:p>
    <w:p w:rsidR="00131002" w:rsidRDefault="00131002" w:rsidP="00611DE0">
      <w:pPr>
        <w:jc w:val="both"/>
      </w:pPr>
      <w:r>
        <w:lastRenderedPageBreak/>
        <w:t xml:space="preserve">Na kontu </w:t>
      </w:r>
      <w:r w:rsidRPr="00EB3B7F">
        <w:rPr>
          <w:b/>
        </w:rPr>
        <w:t>3222</w:t>
      </w:r>
      <w:r>
        <w:t xml:space="preserve"> Materijal i sirovine </w:t>
      </w:r>
      <w:r w:rsidR="000467BD">
        <w:t>Zavod</w:t>
      </w:r>
      <w:r>
        <w:t xml:space="preserve"> bilježi promjenu sa 154.013,13 eur na 190.853,81 eur (indeks promjene 124)</w:t>
      </w:r>
      <w:r w:rsidR="00A11CE6">
        <w:t xml:space="preserve"> uglavnom zbog originalnog potrošnog medicinskog materijala za nove medicinske uređaje.</w:t>
      </w:r>
    </w:p>
    <w:p w:rsidR="00A11CE6" w:rsidRDefault="00A11CE6" w:rsidP="00611DE0">
      <w:pPr>
        <w:jc w:val="both"/>
      </w:pPr>
    </w:p>
    <w:p w:rsidR="00131002" w:rsidRDefault="00131002" w:rsidP="00611DE0">
      <w:pPr>
        <w:jc w:val="both"/>
      </w:pPr>
      <w:r>
        <w:t xml:space="preserve">Na kontu </w:t>
      </w:r>
      <w:r w:rsidRPr="00B369AC">
        <w:rPr>
          <w:b/>
        </w:rPr>
        <w:t>3223</w:t>
      </w:r>
      <w:r>
        <w:t xml:space="preserve"> Energija </w:t>
      </w:r>
      <w:r w:rsidR="000467BD">
        <w:t>Zavod</w:t>
      </w:r>
      <w:r>
        <w:t xml:space="preserve"> bilježi </w:t>
      </w:r>
      <w:r w:rsidR="003977E8">
        <w:t xml:space="preserve">neznatnu </w:t>
      </w:r>
      <w:r>
        <w:t>promjenu sa 737.749,00 eur na 731.078,43 eur (indeks promjene 99)</w:t>
      </w:r>
      <w:r w:rsidR="003977E8">
        <w:t>, no rashod za električnu energiju se povećao dok su se rashodi grijanja i goriva smanjili.</w:t>
      </w:r>
    </w:p>
    <w:p w:rsidR="003977E8" w:rsidRDefault="003977E8" w:rsidP="00611DE0">
      <w:pPr>
        <w:jc w:val="both"/>
      </w:pPr>
    </w:p>
    <w:p w:rsidR="00131002" w:rsidRDefault="00131002" w:rsidP="00611DE0">
      <w:pPr>
        <w:jc w:val="both"/>
      </w:pPr>
      <w:r>
        <w:t xml:space="preserve">Na kontu </w:t>
      </w:r>
      <w:r w:rsidRPr="00B369AC">
        <w:rPr>
          <w:b/>
        </w:rPr>
        <w:t>3224</w:t>
      </w:r>
      <w:r>
        <w:t xml:space="preserve"> Materijal i dijelovi za tekuće i investicijsko održavanje </w:t>
      </w:r>
      <w:r w:rsidR="000467BD">
        <w:t>Zavod</w:t>
      </w:r>
      <w:r>
        <w:t xml:space="preserve"> bilježi promjenu sa 212.068,31 eur na 176.722,76 eur (indeks promjene 83)</w:t>
      </w:r>
    </w:p>
    <w:p w:rsidR="00ED55F3" w:rsidRDefault="00ED55F3" w:rsidP="00611DE0">
      <w:pPr>
        <w:jc w:val="both"/>
      </w:pPr>
    </w:p>
    <w:p w:rsidR="00131002" w:rsidRDefault="00131002" w:rsidP="00611DE0">
      <w:pPr>
        <w:jc w:val="both"/>
      </w:pPr>
      <w:r>
        <w:t xml:space="preserve">Na kontu </w:t>
      </w:r>
      <w:r w:rsidRPr="00B369AC">
        <w:rPr>
          <w:b/>
        </w:rPr>
        <w:t>3225</w:t>
      </w:r>
      <w:r>
        <w:t xml:space="preserve"> Sitni inventar i auto gume </w:t>
      </w:r>
      <w:r w:rsidR="000467BD">
        <w:t>Zavod</w:t>
      </w:r>
      <w:r>
        <w:t xml:space="preserve"> bilježi </w:t>
      </w:r>
      <w:r w:rsidR="00B369AC">
        <w:t>pad</w:t>
      </w:r>
      <w:r>
        <w:t xml:space="preserve"> sa 76.710,48 eur na 30.439,77 eur (indeks promjene 40)</w:t>
      </w:r>
      <w:r w:rsidR="00B369AC">
        <w:t>, jer su u 2022. značajnim iznosom sitnog inventara opremana novonabavljena vozila te gumama stara vozila.</w:t>
      </w:r>
    </w:p>
    <w:p w:rsidR="00B369AC" w:rsidRDefault="00B369AC" w:rsidP="00611DE0">
      <w:pPr>
        <w:jc w:val="both"/>
      </w:pPr>
    </w:p>
    <w:p w:rsidR="00131002" w:rsidRDefault="00131002" w:rsidP="00611DE0">
      <w:pPr>
        <w:jc w:val="both"/>
      </w:pPr>
      <w:r>
        <w:t xml:space="preserve">Na kontu </w:t>
      </w:r>
      <w:r w:rsidRPr="00A0297A">
        <w:rPr>
          <w:b/>
        </w:rPr>
        <w:t>3227</w:t>
      </w:r>
      <w:r>
        <w:t xml:space="preserve"> Službena, radna i zaštitna odjeća i obuća </w:t>
      </w:r>
      <w:r w:rsidR="000467BD">
        <w:t>Zavod</w:t>
      </w:r>
      <w:r>
        <w:t xml:space="preserve"> bilježi </w:t>
      </w:r>
      <w:r w:rsidR="00146F61">
        <w:t>smanjenje</w:t>
      </w:r>
      <w:r>
        <w:t xml:space="preserve"> sa 208.202,58 eur na 119.037,28 eur (indeks promjene 57)</w:t>
      </w:r>
      <w:r w:rsidR="00146F61">
        <w:t xml:space="preserve"> jer je koncem 2022. nabavljena (i </w:t>
      </w:r>
      <w:r w:rsidR="00146F61" w:rsidRPr="004C207A">
        <w:t xml:space="preserve">iskazana kao rashod) veća količina odjeće odmah po završetku postupka javne nabave, u 2022. nabavljena je i radna obuća, a </w:t>
      </w:r>
      <w:r w:rsidR="00611DE0" w:rsidRPr="004C207A">
        <w:t xml:space="preserve">u 2023. </w:t>
      </w:r>
      <w:r w:rsidR="00146F61" w:rsidRPr="004C207A">
        <w:t>utrošak rukavica se</w:t>
      </w:r>
      <w:r w:rsidR="00611DE0" w:rsidRPr="004C207A">
        <w:t xml:space="preserve"> prepolovio, moguće v</w:t>
      </w:r>
      <w:r w:rsidR="00611DE0" w:rsidRPr="00611DE0">
        <w:t xml:space="preserve">ezano </w:t>
      </w:r>
      <w:r w:rsidR="000111BC">
        <w:t>i uz proglašenje</w:t>
      </w:r>
      <w:r w:rsidR="00611DE0" w:rsidRPr="00611DE0">
        <w:t xml:space="preserve"> prestanka epidemije koronavirusa.</w:t>
      </w:r>
    </w:p>
    <w:p w:rsidR="0055690C" w:rsidRDefault="0055690C" w:rsidP="004C207A">
      <w:pPr>
        <w:jc w:val="both"/>
      </w:pPr>
    </w:p>
    <w:p w:rsidR="00131002" w:rsidRDefault="00131002" w:rsidP="004C207A">
      <w:pPr>
        <w:jc w:val="both"/>
      </w:pPr>
      <w:r>
        <w:t xml:space="preserve">Na kontu </w:t>
      </w:r>
      <w:r w:rsidRPr="00A0297A">
        <w:rPr>
          <w:b/>
        </w:rPr>
        <w:t>3232</w:t>
      </w:r>
      <w:r>
        <w:t xml:space="preserve"> Usluge tekućeg i investicijskog održavanja </w:t>
      </w:r>
      <w:r w:rsidR="000467BD">
        <w:t>Zavod</w:t>
      </w:r>
      <w:r>
        <w:t xml:space="preserve"> bilježi </w:t>
      </w:r>
      <w:r w:rsidR="00006DDB">
        <w:t>značajni skok</w:t>
      </w:r>
      <w:r>
        <w:t xml:space="preserve"> sa 287.814,91 eur na 467.952,72 eur (indeks promjene 163)</w:t>
      </w:r>
      <w:r w:rsidR="00006DDB">
        <w:t xml:space="preserve"> što je posljedica porasta rashoda za građevinske objekte</w:t>
      </w:r>
      <w:r w:rsidR="009874E2">
        <w:t xml:space="preserve"> (usluga održavanja porasla je za 70% u 2023.)</w:t>
      </w:r>
      <w:r w:rsidR="00006DDB">
        <w:t>, za opremu</w:t>
      </w:r>
      <w:r w:rsidR="00D41B77">
        <w:t xml:space="preserve"> (servis i popravci nove medicinske opreme u vozilima), a zbog kašnjenja u postupku javne nabave vozila, morali su se odraditi veliki zahvati na starim vozilima (popravci glave motora i sl.)</w:t>
      </w:r>
      <w:r w:rsidR="00006DDB">
        <w:t>.</w:t>
      </w:r>
    </w:p>
    <w:p w:rsidR="00006DDB" w:rsidRDefault="00006DDB" w:rsidP="004C207A">
      <w:pPr>
        <w:jc w:val="both"/>
      </w:pPr>
    </w:p>
    <w:p w:rsidR="00131002" w:rsidRDefault="00131002" w:rsidP="004C207A">
      <w:pPr>
        <w:jc w:val="both"/>
      </w:pPr>
      <w:r>
        <w:t xml:space="preserve">Na kontu </w:t>
      </w:r>
      <w:r w:rsidRPr="00784551">
        <w:rPr>
          <w:b/>
        </w:rPr>
        <w:t>3237</w:t>
      </w:r>
      <w:r>
        <w:t xml:space="preserve"> Intelektualne i osobne usluge </w:t>
      </w:r>
      <w:r w:rsidR="000467BD">
        <w:t>Zavod</w:t>
      </w:r>
      <w:r>
        <w:t xml:space="preserve"> bilježi promjenu sa 18.668,20 eur na 28.162,98 eur (indeks promjene 151)</w:t>
      </w:r>
      <w:r w:rsidR="00784551">
        <w:t xml:space="preserve"> ponajviše zbog nužne izrade elaborata za vodopravnu dozvolu</w:t>
      </w:r>
      <w:r w:rsidR="004C207A">
        <w:t>, a</w:t>
      </w:r>
      <w:r w:rsidR="00784551">
        <w:t xml:space="preserve"> i </w:t>
      </w:r>
      <w:r w:rsidR="004C207A">
        <w:t>dorada web stranice.</w:t>
      </w:r>
    </w:p>
    <w:p w:rsidR="00784551" w:rsidRDefault="00784551" w:rsidP="004C207A">
      <w:pPr>
        <w:jc w:val="both"/>
      </w:pPr>
    </w:p>
    <w:p w:rsidR="00131002" w:rsidRDefault="00131002" w:rsidP="004C207A">
      <w:pPr>
        <w:jc w:val="both"/>
      </w:pPr>
      <w:r>
        <w:t xml:space="preserve">Na kontu </w:t>
      </w:r>
      <w:r w:rsidRPr="006C0610">
        <w:rPr>
          <w:b/>
        </w:rPr>
        <w:t>3238</w:t>
      </w:r>
      <w:r>
        <w:t xml:space="preserve"> Računalne usluge </w:t>
      </w:r>
      <w:r w:rsidR="000467BD">
        <w:t>Zavod</w:t>
      </w:r>
      <w:r>
        <w:t xml:space="preserve"> bilježi </w:t>
      </w:r>
      <w:r w:rsidR="004C207A">
        <w:t>smanjenje</w:t>
      </w:r>
      <w:r>
        <w:t xml:space="preserve"> sa 53.695,13 eur na 41.081,58 eur (indeks promjene 77)</w:t>
      </w:r>
      <w:r w:rsidR="004C207A">
        <w:t xml:space="preserve"> zato jer je 2022. donijela dodatni trošak informatičkom poslovnom sustavu zbog najave uvođenja eura.</w:t>
      </w:r>
    </w:p>
    <w:p w:rsidR="006C0610" w:rsidRDefault="006C0610" w:rsidP="004C207A">
      <w:pPr>
        <w:jc w:val="both"/>
      </w:pPr>
    </w:p>
    <w:p w:rsidR="00131002" w:rsidRDefault="00131002" w:rsidP="00F846D9">
      <w:pPr>
        <w:jc w:val="both"/>
      </w:pPr>
      <w:r>
        <w:lastRenderedPageBreak/>
        <w:t xml:space="preserve">Na kontu </w:t>
      </w:r>
      <w:r w:rsidRPr="006C0610">
        <w:rPr>
          <w:b/>
        </w:rPr>
        <w:t>3239</w:t>
      </w:r>
      <w:r>
        <w:t xml:space="preserve"> Ostale usluge </w:t>
      </w:r>
      <w:r w:rsidR="000467BD">
        <w:t>Zavod</w:t>
      </w:r>
      <w:r>
        <w:t xml:space="preserve"> bilježi </w:t>
      </w:r>
      <w:r w:rsidR="006C0610">
        <w:t>blagi porast</w:t>
      </w:r>
      <w:r>
        <w:t xml:space="preserve"> sa 86.552,53 eur na 91.022,73 eur (indeks promjene 105)</w:t>
      </w:r>
      <w:r w:rsidR="006C0610">
        <w:t xml:space="preserve"> zbog porasta cijene zaštitarske usluge.</w:t>
      </w:r>
    </w:p>
    <w:p w:rsidR="006C0610" w:rsidRDefault="006C0610" w:rsidP="00F846D9">
      <w:pPr>
        <w:pStyle w:val="Odlomakpopisa"/>
        <w:jc w:val="both"/>
      </w:pPr>
    </w:p>
    <w:p w:rsidR="00131002" w:rsidRDefault="00131002" w:rsidP="00F846D9">
      <w:pPr>
        <w:jc w:val="both"/>
      </w:pPr>
      <w:r>
        <w:t xml:space="preserve">Na kontu </w:t>
      </w:r>
      <w:r w:rsidRPr="006C0610">
        <w:rPr>
          <w:b/>
        </w:rPr>
        <w:t>3292</w:t>
      </w:r>
      <w:r>
        <w:t xml:space="preserve"> Premije osiguranja </w:t>
      </w:r>
      <w:r w:rsidR="000467BD">
        <w:t>Zavod</w:t>
      </w:r>
      <w:r>
        <w:t xml:space="preserve"> bilježi </w:t>
      </w:r>
      <w:r w:rsidR="006C0610">
        <w:t>porast</w:t>
      </w:r>
      <w:r>
        <w:t xml:space="preserve"> sa 89.054,83 eur na 98.687,94 eur (indeks promjene 111)</w:t>
      </w:r>
      <w:r w:rsidR="006C0610">
        <w:t xml:space="preserve"> ponajviše zbog kasko osiguranja vozila.</w:t>
      </w:r>
    </w:p>
    <w:p w:rsidR="006C0610" w:rsidRDefault="006C0610" w:rsidP="00F846D9">
      <w:pPr>
        <w:jc w:val="both"/>
      </w:pPr>
    </w:p>
    <w:p w:rsidR="00131002" w:rsidRDefault="00131002" w:rsidP="00F846D9">
      <w:pPr>
        <w:jc w:val="both"/>
      </w:pPr>
      <w:r>
        <w:t xml:space="preserve">Na kontu </w:t>
      </w:r>
      <w:r w:rsidRPr="006C0610">
        <w:rPr>
          <w:b/>
        </w:rPr>
        <w:t>3296</w:t>
      </w:r>
      <w:r>
        <w:t xml:space="preserve"> Troškovi sudskih postupaka </w:t>
      </w:r>
      <w:r w:rsidR="000467BD">
        <w:t>Zavod</w:t>
      </w:r>
      <w:r>
        <w:t xml:space="preserve"> bilježi promjenu sa 88.602,78 eur na 136.441,09 eur (indeks promjene 154)</w:t>
      </w:r>
      <w:r w:rsidR="006C0610">
        <w:t>, što je rezultat tužbi spomenutih uz konto 6361.</w:t>
      </w:r>
    </w:p>
    <w:p w:rsidR="006C0610" w:rsidRDefault="006C0610" w:rsidP="00F846D9">
      <w:pPr>
        <w:jc w:val="both"/>
      </w:pPr>
    </w:p>
    <w:p w:rsidR="00131002" w:rsidRDefault="00773544" w:rsidP="00F846D9">
      <w:pPr>
        <w:jc w:val="both"/>
      </w:pPr>
      <w:r>
        <w:t xml:space="preserve">Na kontu </w:t>
      </w:r>
      <w:r w:rsidRPr="000446E7">
        <w:rPr>
          <w:b/>
        </w:rPr>
        <w:t>34</w:t>
      </w:r>
      <w:r>
        <w:t xml:space="preserve"> Financijski rashodi </w:t>
      </w:r>
      <w:r w:rsidR="000467BD">
        <w:t>Zavod</w:t>
      </w:r>
      <w:r w:rsidR="00131002">
        <w:t xml:space="preserve"> bilježi </w:t>
      </w:r>
      <w:r>
        <w:t>veliki skok</w:t>
      </w:r>
      <w:r w:rsidR="00131002">
        <w:t xml:space="preserve"> sa 22.385,38 eur na 69.739,58 eur (indeks promjene 312)</w:t>
      </w:r>
      <w:r>
        <w:t xml:space="preserve"> i to najviše zbog otplate kamate za kredit odobren u 2022. godini.</w:t>
      </w:r>
    </w:p>
    <w:p w:rsidR="00773544" w:rsidRDefault="00773544" w:rsidP="00F846D9">
      <w:pPr>
        <w:jc w:val="both"/>
      </w:pPr>
    </w:p>
    <w:p w:rsidR="00131002" w:rsidRDefault="00131002" w:rsidP="00F846D9">
      <w:pPr>
        <w:jc w:val="both"/>
      </w:pPr>
      <w:r>
        <w:t xml:space="preserve">Na kontu </w:t>
      </w:r>
      <w:r w:rsidRPr="00576540">
        <w:rPr>
          <w:b/>
        </w:rPr>
        <w:t>4124</w:t>
      </w:r>
      <w:r>
        <w:t xml:space="preserve"> Ostala prava </w:t>
      </w:r>
      <w:r w:rsidR="000467BD">
        <w:t>Zavod</w:t>
      </w:r>
      <w:r>
        <w:t xml:space="preserve"> bilježi promjenu sa 2.627,91 eur na 20.385,33 eur (indeks promjene 776)</w:t>
      </w:r>
      <w:r w:rsidR="00065A4F">
        <w:t>. S obzirom na poslovanje središnjice Zavoda u Heinzelovoj ulici</w:t>
      </w:r>
      <w:r w:rsidR="00145EC7">
        <w:t xml:space="preserve"> br.</w:t>
      </w:r>
      <w:r w:rsidR="00065A4F">
        <w:t xml:space="preserve"> 88 u Zagrebu koja je u vlasništvu Grada Zagreba, u sklopu Ulaganja na tuđoj imovini imamo </w:t>
      </w:r>
      <w:r w:rsidR="00F10596">
        <w:t xml:space="preserve">u 2023., od značajnijih ulaganja, </w:t>
      </w:r>
      <w:r w:rsidR="00F23319">
        <w:t>uređenje grijanja</w:t>
      </w:r>
      <w:r w:rsidR="00145EC7">
        <w:t xml:space="preserve"> te ugradnju </w:t>
      </w:r>
      <w:r w:rsidR="00F23319">
        <w:t>prozora i staklene stijene u novoj</w:t>
      </w:r>
      <w:r w:rsidR="00065A4F">
        <w:t xml:space="preserve"> prijavno-dojavn</w:t>
      </w:r>
      <w:r w:rsidR="00F23319">
        <w:t>oj</w:t>
      </w:r>
      <w:r w:rsidR="00065A4F">
        <w:t xml:space="preserve"> jedinic</w:t>
      </w:r>
      <w:r w:rsidR="00F23319">
        <w:t>i</w:t>
      </w:r>
      <w:r w:rsidR="00065A4F">
        <w:t>.</w:t>
      </w:r>
    </w:p>
    <w:p w:rsidR="00065A4F" w:rsidRDefault="00065A4F" w:rsidP="00F846D9">
      <w:pPr>
        <w:jc w:val="both"/>
      </w:pPr>
    </w:p>
    <w:p w:rsidR="00131002" w:rsidRDefault="00131002" w:rsidP="00F846D9">
      <w:pPr>
        <w:jc w:val="both"/>
      </w:pPr>
      <w:r>
        <w:t xml:space="preserve">Na kontu </w:t>
      </w:r>
      <w:r w:rsidRPr="00576540">
        <w:rPr>
          <w:b/>
        </w:rPr>
        <w:t>4221</w:t>
      </w:r>
      <w:r>
        <w:t xml:space="preserve"> Uredska oprema i namještaj </w:t>
      </w:r>
      <w:r w:rsidR="000467BD">
        <w:t>Zavod</w:t>
      </w:r>
      <w:r>
        <w:t xml:space="preserve"> bilježi promjenu sa 6.792,09 eur na 21.659,04 eur (indeks promjene 319)</w:t>
      </w:r>
      <w:r w:rsidR="00B749D9">
        <w:t xml:space="preserve"> što je ponajviše rezultat investicije u visokokvalitetne podesive ergonomske stolice za prijavno-dojavnu jedinicu, za moguća opterećenja i do 150 kg te opterećenja korištenja 24/7 (uz 10 godina garancije).</w:t>
      </w:r>
    </w:p>
    <w:p w:rsidR="00BE338B" w:rsidRDefault="00BE338B" w:rsidP="00BE338B">
      <w:pPr>
        <w:jc w:val="both"/>
      </w:pPr>
    </w:p>
    <w:p w:rsidR="00131002" w:rsidRDefault="00131002" w:rsidP="00BE338B">
      <w:pPr>
        <w:jc w:val="both"/>
      </w:pPr>
      <w:r>
        <w:t xml:space="preserve">Na kontu </w:t>
      </w:r>
      <w:r w:rsidRPr="00576540">
        <w:rPr>
          <w:b/>
        </w:rPr>
        <w:t>4227</w:t>
      </w:r>
      <w:r>
        <w:t xml:space="preserve"> Uređaji, strojevi i oprema za ostale namjene </w:t>
      </w:r>
      <w:r w:rsidR="000467BD">
        <w:t>Zavod</w:t>
      </w:r>
      <w:r>
        <w:t xml:space="preserve"> </w:t>
      </w:r>
      <w:r w:rsidR="00BE338B">
        <w:t>u većem dijelu investira u 2023. za potrebe Tehničke službe (dizalice, tester grešaka vozila i sl.)</w:t>
      </w:r>
    </w:p>
    <w:p w:rsidR="00BE338B" w:rsidRDefault="00BE338B" w:rsidP="00BE338B">
      <w:pPr>
        <w:jc w:val="both"/>
      </w:pPr>
    </w:p>
    <w:p w:rsidR="00131002" w:rsidRDefault="00131002" w:rsidP="00BE338B">
      <w:pPr>
        <w:jc w:val="both"/>
      </w:pPr>
      <w:r>
        <w:t xml:space="preserve">Na kontu </w:t>
      </w:r>
      <w:r w:rsidRPr="00576540">
        <w:rPr>
          <w:b/>
        </w:rPr>
        <w:t>4231</w:t>
      </w:r>
      <w:r>
        <w:t xml:space="preserve"> Prijevozna sredstva u cestovnom prometu </w:t>
      </w:r>
      <w:r w:rsidR="000467BD">
        <w:t>Zavod</w:t>
      </w:r>
      <w:r>
        <w:t xml:space="preserve"> </w:t>
      </w:r>
      <w:r w:rsidR="00BE338B">
        <w:t>u 2023. nažalost ne bilježi rashod za potrebna nova vozila, odnosno vidljiva je promjena</w:t>
      </w:r>
      <w:r w:rsidR="003163FE">
        <w:t xml:space="preserve"> sa 4.536.133,78 eur </w:t>
      </w:r>
      <w:r w:rsidR="00BE338B">
        <w:t>(u 2022. kada su nabavljena 42 dugoočekivana vozila) na 0,00 eur (u 2023.</w:t>
      </w:r>
      <w:r w:rsidR="00B674B5">
        <w:t>, kada se zapravo trebalo nastaviti sa nabavljanjem vozila sukladno planu i potrebama vozačkog sektora</w:t>
      </w:r>
      <w:r w:rsidR="00BE338B">
        <w:t>).</w:t>
      </w:r>
    </w:p>
    <w:p w:rsidR="00BE338B" w:rsidRDefault="00BE338B" w:rsidP="00BE338B">
      <w:pPr>
        <w:jc w:val="both"/>
      </w:pPr>
    </w:p>
    <w:p w:rsidR="00131002" w:rsidRDefault="003D584F" w:rsidP="003D584F">
      <w:pPr>
        <w:jc w:val="both"/>
      </w:pPr>
      <w:r>
        <w:t xml:space="preserve">Dugoročnog kreditnog zaduženja u 2023. nije bilo, iako je bilo planirano inicijalnim financijskim planom, pa stoga na </w:t>
      </w:r>
      <w:r w:rsidR="00131002">
        <w:t xml:space="preserve"> kontu </w:t>
      </w:r>
      <w:r w:rsidR="00131002" w:rsidRPr="00576540">
        <w:rPr>
          <w:b/>
        </w:rPr>
        <w:t>8443</w:t>
      </w:r>
      <w:r w:rsidR="00131002">
        <w:t xml:space="preserve"> Primljeni krediti od tuzemnih kreditnih institucija izvan javnog sektora </w:t>
      </w:r>
      <w:r w:rsidR="000467BD">
        <w:t>Zavod</w:t>
      </w:r>
      <w:r w:rsidR="00131002">
        <w:t xml:space="preserve"> bilježi promjenu sa 4.536.133,78 eur na </w:t>
      </w:r>
      <w:r>
        <w:t>0,00 eur.</w:t>
      </w:r>
    </w:p>
    <w:p w:rsidR="003D584F" w:rsidRDefault="003D584F" w:rsidP="003D584F">
      <w:pPr>
        <w:jc w:val="both"/>
      </w:pPr>
    </w:p>
    <w:p w:rsidR="00131002" w:rsidRDefault="00576540" w:rsidP="00576540">
      <w:pPr>
        <w:jc w:val="both"/>
      </w:pPr>
      <w:r>
        <w:lastRenderedPageBreak/>
        <w:t>Sukladno planu otplate kredita, n</w:t>
      </w:r>
      <w:r w:rsidR="00131002">
        <w:t xml:space="preserve">a kontu </w:t>
      </w:r>
      <w:r w:rsidR="00131002" w:rsidRPr="00576540">
        <w:rPr>
          <w:b/>
        </w:rPr>
        <w:t>5443</w:t>
      </w:r>
      <w:r w:rsidR="00131002">
        <w:t xml:space="preserve"> Otplata glavnice primljenih kredita od tuzemnih kreditnih institucija izvan javnog sektora </w:t>
      </w:r>
      <w:r w:rsidR="000467BD">
        <w:t>Zavod</w:t>
      </w:r>
      <w:r w:rsidR="00131002">
        <w:t xml:space="preserve"> bilježi promjenu sa 453.613,38 eur na 907.226,76 eur (indeks promjene 200)</w:t>
      </w:r>
      <w:r>
        <w:t>.</w:t>
      </w:r>
    </w:p>
    <w:p w:rsidR="00131002" w:rsidRDefault="00131002" w:rsidP="001568DC"/>
    <w:p w:rsidR="00422D3E" w:rsidRDefault="00C9513C" w:rsidP="001C49A2">
      <w:pPr>
        <w:pStyle w:val="Naslov2"/>
      </w:pPr>
      <w:bookmarkStart w:id="2" w:name="_Toc157592713"/>
      <w:r>
        <w:t>Uvođenje eura-</w:t>
      </w:r>
      <w:r w:rsidR="00422D3E">
        <w:t>nastale razlike</w:t>
      </w:r>
      <w:bookmarkEnd w:id="2"/>
    </w:p>
    <w:p w:rsidR="00913DA8" w:rsidRDefault="00422D3E" w:rsidP="00422D3E">
      <w:r>
        <w:t xml:space="preserve">Razlike </w:t>
      </w:r>
      <w:r w:rsidR="001C49A2">
        <w:t>nastale između ukupne vrijednosti imovine te ukupne vrijednosti obveza i vlastitih izvora na dan 1.1.2023. uslijed preračunavanja kuna u euro iskazan na teret ili u korist vlastitih izvora</w:t>
      </w:r>
      <w:r>
        <w:t>:</w:t>
      </w:r>
    </w:p>
    <w:p w:rsidR="001C49A2" w:rsidRDefault="001C49A2" w:rsidP="00422D3E">
      <w:pPr>
        <w:pStyle w:val="Odlomakpopisa"/>
        <w:numPr>
          <w:ilvl w:val="0"/>
          <w:numId w:val="14"/>
        </w:numPr>
      </w:pPr>
      <w:r>
        <w:t>3299800 Ostali rashodi poslovanja-razno +0,01 eur (razlika, ravnoteža bilance)</w:t>
      </w:r>
    </w:p>
    <w:p w:rsidR="001C49A2" w:rsidRPr="001C49A2" w:rsidRDefault="001C49A2" w:rsidP="00422D3E">
      <w:pPr>
        <w:pStyle w:val="Odlomakpopisa"/>
        <w:numPr>
          <w:ilvl w:val="0"/>
          <w:numId w:val="14"/>
        </w:numPr>
      </w:pPr>
      <w:r>
        <w:t>6526900 Ostali nespomenuti prihodi -0,01 eur; zatvaranje pr</w:t>
      </w:r>
      <w:r w:rsidR="0002467C">
        <w:t>ij</w:t>
      </w:r>
      <w:r>
        <w:t xml:space="preserve">elaznih konta +0,35 eur; </w:t>
      </w:r>
      <w:r w:rsidR="0002467C">
        <w:t xml:space="preserve">ukupno </w:t>
      </w:r>
      <w:r>
        <w:t>početni saldo 0,34 eur</w:t>
      </w:r>
    </w:p>
    <w:p w:rsidR="00913DA8" w:rsidRPr="001568DC" w:rsidRDefault="00913DA8" w:rsidP="001568DC"/>
    <w:p w:rsidR="0008370C" w:rsidRDefault="0008370C" w:rsidP="0021451B">
      <w:pPr>
        <w:pStyle w:val="Naslov1"/>
        <w:numPr>
          <w:ilvl w:val="0"/>
          <w:numId w:val="6"/>
        </w:numPr>
      </w:pPr>
      <w:bookmarkStart w:id="3" w:name="_Toc157592714"/>
      <w:r>
        <w:t xml:space="preserve">Bilješke uz Bilancu </w:t>
      </w:r>
      <w:r w:rsidR="001568DC">
        <w:t>(obrazac BIL)</w:t>
      </w:r>
      <w:bookmarkEnd w:id="3"/>
    </w:p>
    <w:p w:rsidR="0008370C" w:rsidRDefault="005F0DA6" w:rsidP="001568DC">
      <w:pPr>
        <w:pStyle w:val="Naslov2"/>
        <w:numPr>
          <w:ilvl w:val="0"/>
          <w:numId w:val="4"/>
        </w:numPr>
      </w:pPr>
      <w:bookmarkStart w:id="4" w:name="_Toc157592715"/>
      <w:r>
        <w:t xml:space="preserve">Komentar </w:t>
      </w:r>
      <w:r w:rsidR="0008370C">
        <w:t>bilančnih stavki</w:t>
      </w:r>
      <w:bookmarkEnd w:id="4"/>
    </w:p>
    <w:p w:rsidR="003A103D" w:rsidRDefault="003A103D" w:rsidP="003672AE">
      <w:pPr>
        <w:jc w:val="both"/>
      </w:pPr>
      <w:r w:rsidRPr="003A103D">
        <w:t>U odnosu na stanje početkom razdoblja</w:t>
      </w:r>
      <w:r>
        <w:t>,</w:t>
      </w:r>
      <w:r w:rsidRPr="003A103D">
        <w:t xml:space="preserve"> ukupna imovina </w:t>
      </w:r>
      <w:r>
        <w:t>smanjena je za</w:t>
      </w:r>
      <w:r w:rsidRPr="003A103D">
        <w:t xml:space="preserve"> 1.266.135,86 (</w:t>
      </w:r>
      <w:r w:rsidR="005E58FC">
        <w:t xml:space="preserve">šifra </w:t>
      </w:r>
      <w:r w:rsidRPr="003A103D">
        <w:t xml:space="preserve">B001). Nefinancijska imovina </w:t>
      </w:r>
      <w:r>
        <w:t xml:space="preserve">smanjenja je za </w:t>
      </w:r>
      <w:r w:rsidRPr="003A103D">
        <w:t>1.184.244,92 (</w:t>
      </w:r>
      <w:r w:rsidR="005E58FC">
        <w:t xml:space="preserve">šifra </w:t>
      </w:r>
      <w:r w:rsidRPr="003A103D">
        <w:t>B002), dok je financijska imovina smanjena za 81.890,94 (</w:t>
      </w:r>
      <w:r w:rsidR="005E58FC">
        <w:t xml:space="preserve">šifra </w:t>
      </w:r>
      <w:r w:rsidRPr="003A103D">
        <w:t>1).</w:t>
      </w:r>
    </w:p>
    <w:p w:rsidR="0036009C" w:rsidRPr="0036009C" w:rsidRDefault="0036009C" w:rsidP="003672AE">
      <w:pPr>
        <w:jc w:val="both"/>
        <w:rPr>
          <w:highlight w:val="yellow"/>
        </w:rPr>
      </w:pPr>
    </w:p>
    <w:p w:rsidR="0036009C" w:rsidRPr="00DE4710" w:rsidRDefault="005E58FC" w:rsidP="003672AE">
      <w:pPr>
        <w:jc w:val="both"/>
      </w:pPr>
      <w:r w:rsidRPr="00DE4710">
        <w:t>T</w:t>
      </w:r>
      <w:r w:rsidR="0036009C" w:rsidRPr="00DE4710">
        <w:t xml:space="preserve">ijekom godine isknjižena je i prodana dugotrajna imovina koja se odnosi na sedam vozila koja su prodana putem Ugovora o posredovanju sa TRCZ Automobili d.o.o. </w:t>
      </w:r>
    </w:p>
    <w:p w:rsidR="0036009C" w:rsidRDefault="0036009C" w:rsidP="003672AE">
      <w:pPr>
        <w:ind w:left="360"/>
        <w:jc w:val="both"/>
      </w:pPr>
    </w:p>
    <w:p w:rsidR="0036009C" w:rsidRDefault="0036009C" w:rsidP="003672AE">
      <w:pPr>
        <w:jc w:val="both"/>
      </w:pPr>
      <w:r>
        <w:t>Ispravak vrijednosti (amortizacija), izvršen je po propisanim stopama, sa stanjem na dan 31. prosinca 2023. Time je vrijednost imovine umanjena za 936.993,05 eur.</w:t>
      </w:r>
    </w:p>
    <w:p w:rsidR="003A103D" w:rsidRDefault="003A103D" w:rsidP="003672AE">
      <w:pPr>
        <w:jc w:val="both"/>
      </w:pPr>
    </w:p>
    <w:p w:rsidR="00596EA2" w:rsidRPr="00D559BE" w:rsidRDefault="00596EA2" w:rsidP="003672AE">
      <w:pPr>
        <w:jc w:val="both"/>
      </w:pPr>
      <w:r w:rsidRPr="00D559BE">
        <w:t xml:space="preserve">Sredstva angažirana u zalihama za obavljanje djelatnosti </w:t>
      </w:r>
      <w:r w:rsidR="003672AE" w:rsidRPr="00D559BE">
        <w:t>podjednaka</w:t>
      </w:r>
      <w:r w:rsidRPr="00D559BE">
        <w:t xml:space="preserve"> su u odnosu na godinu </w:t>
      </w:r>
      <w:r w:rsidR="003672AE" w:rsidRPr="00D559BE">
        <w:t>ranije (06), a r</w:t>
      </w:r>
      <w:r w:rsidRPr="00D559BE">
        <w:t xml:space="preserve">adi se o zalihama lijekova, sanitetskog i medicinskog potrošnog materijala, knjiženim donacijama u iznosu od </w:t>
      </w:r>
      <w:r w:rsidR="00D559BE" w:rsidRPr="00D559BE">
        <w:t>44.951,01</w:t>
      </w:r>
      <w:r w:rsidRPr="00D559BE">
        <w:t xml:space="preserve"> </w:t>
      </w:r>
      <w:r w:rsidR="00D559BE" w:rsidRPr="00D559BE">
        <w:t xml:space="preserve">vezanih uz sprečavanje </w:t>
      </w:r>
      <w:r w:rsidRPr="00D559BE">
        <w:t>širenja bolesti Covid-19, kao i svakodnevnim obavljanjem djelatnosti i obveznim minimalnim zalihama.</w:t>
      </w:r>
    </w:p>
    <w:p w:rsidR="00596EA2" w:rsidRDefault="00596EA2" w:rsidP="003672AE">
      <w:pPr>
        <w:jc w:val="both"/>
      </w:pPr>
    </w:p>
    <w:p w:rsidR="003A103D" w:rsidRDefault="003A103D" w:rsidP="00B753C2">
      <w:pPr>
        <w:jc w:val="both"/>
      </w:pPr>
      <w:r>
        <w:t xml:space="preserve">Na kontu </w:t>
      </w:r>
      <w:r w:rsidRPr="0048116C">
        <w:rPr>
          <w:b/>
        </w:rPr>
        <w:t>11</w:t>
      </w:r>
      <w:r>
        <w:t xml:space="preserve"> Novac u banci i blagajni Nastavni zavod za hitnu medicinu Grada Zagreba bilježi </w:t>
      </w:r>
      <w:r w:rsidR="00B753C2">
        <w:t>pad</w:t>
      </w:r>
      <w:r>
        <w:t xml:space="preserve"> sa 615.516,30 eur na 279.700,59 eur (indeks promjene 45)</w:t>
      </w:r>
      <w:r w:rsidR="00B753C2">
        <w:t>, što je posljedica trenda kretanja minimalnog salda na poslovnom računu u zadnje 2-3 godine.</w:t>
      </w:r>
    </w:p>
    <w:p w:rsidR="00B753C2" w:rsidRDefault="00B753C2" w:rsidP="00B753C2">
      <w:pPr>
        <w:jc w:val="both"/>
      </w:pPr>
    </w:p>
    <w:p w:rsidR="003A103D" w:rsidRDefault="003A103D" w:rsidP="00B753C2">
      <w:pPr>
        <w:jc w:val="both"/>
      </w:pPr>
      <w:r>
        <w:lastRenderedPageBreak/>
        <w:t xml:space="preserve">Na kontu </w:t>
      </w:r>
      <w:r w:rsidR="00B753C2" w:rsidRPr="0048116C">
        <w:rPr>
          <w:b/>
        </w:rPr>
        <w:t>112</w:t>
      </w:r>
      <w:r w:rsidR="00B753C2">
        <w:t xml:space="preserve"> Izdvojena novčana sredstva Zavod knjiži rezervacije FINE u ovršnim postupcima za koje nije zatražena dobrovoljna isplata već su se tužitelji odlučili </w:t>
      </w:r>
      <w:r w:rsidR="008C48EC">
        <w:t xml:space="preserve">direktno za ovršni postupak. Zavod na toj poziciji </w:t>
      </w:r>
      <w:r>
        <w:t xml:space="preserve">bilježi </w:t>
      </w:r>
      <w:r w:rsidR="008C48EC">
        <w:t>smanjenje</w:t>
      </w:r>
      <w:r>
        <w:t xml:space="preserve"> sa 27.217,54 eur na 16.677,09 eur (indeks promjene 61)</w:t>
      </w:r>
      <w:r w:rsidR="008C48EC">
        <w:t xml:space="preserve"> jer se ipak većina pravomoćnih presuda isplaćuje dobrovoljno.</w:t>
      </w:r>
    </w:p>
    <w:p w:rsidR="003A103D" w:rsidRDefault="003A103D" w:rsidP="00BA34F9">
      <w:pPr>
        <w:jc w:val="both"/>
      </w:pPr>
      <w:r>
        <w:t xml:space="preserve">Na kontu </w:t>
      </w:r>
      <w:r w:rsidRPr="0048116C">
        <w:rPr>
          <w:b/>
        </w:rPr>
        <w:t>129</w:t>
      </w:r>
      <w:r>
        <w:t xml:space="preserve"> Ostala potraživanja Nastavni zavod za hitnu medicinu Grada Zagreba bilježi promjenu sa 27.129,54 eur na 31.754,00 eur (indeks promjene 117)</w:t>
      </w:r>
    </w:p>
    <w:p w:rsidR="00BA34F9" w:rsidRDefault="00BA34F9" w:rsidP="00BA34F9">
      <w:pPr>
        <w:jc w:val="both"/>
      </w:pPr>
    </w:p>
    <w:p w:rsidR="003A103D" w:rsidRDefault="003A103D" w:rsidP="00BA34F9">
      <w:pPr>
        <w:jc w:val="both"/>
      </w:pPr>
      <w:r>
        <w:t xml:space="preserve">Na kontu </w:t>
      </w:r>
      <w:r w:rsidRPr="0048116C">
        <w:rPr>
          <w:b/>
        </w:rPr>
        <w:t>1638</w:t>
      </w:r>
      <w:r>
        <w:t xml:space="preserve"> Potraživanja za pomoći iz državnog proračuna temeljem prijenosa EU sredstava </w:t>
      </w:r>
      <w:r w:rsidR="00BA34F9">
        <w:t>Zavod</w:t>
      </w:r>
      <w:r>
        <w:t xml:space="preserve"> bilježi promjenu sa 31.936,45 eur na 9.999,77 eur (indeks promjene 31)</w:t>
      </w:r>
      <w:r w:rsidR="00BA34F9">
        <w:t>, što je u skladu sa završetkom projekata specijalističkog usavršavanja iz Europskog socijalnog fonda i Operativnog programa učinkoviti ljudski potencijali 2014-2020.</w:t>
      </w:r>
    </w:p>
    <w:p w:rsidR="00BA34F9" w:rsidRDefault="00BA34F9" w:rsidP="00BA34F9">
      <w:pPr>
        <w:jc w:val="both"/>
      </w:pPr>
    </w:p>
    <w:p w:rsidR="003A103D" w:rsidRDefault="003A103D" w:rsidP="00BA34F9">
      <w:pPr>
        <w:jc w:val="both"/>
      </w:pPr>
      <w:r>
        <w:t xml:space="preserve">Na kontu </w:t>
      </w:r>
      <w:r w:rsidRPr="0048116C">
        <w:rPr>
          <w:b/>
        </w:rPr>
        <w:t>165</w:t>
      </w:r>
      <w:r>
        <w:t xml:space="preserve"> Potraživanja za upravne i administrativne pristojbe, pristojbe po posebnim propisima i naknade </w:t>
      </w:r>
      <w:r w:rsidR="00BA34F9">
        <w:t xml:space="preserve">vidi se </w:t>
      </w:r>
      <w:r w:rsidR="00B40065">
        <w:t xml:space="preserve">veliki </w:t>
      </w:r>
      <w:r w:rsidR="00BA34F9">
        <w:t>porast potraživanja od osiguravatelja za štete,</w:t>
      </w:r>
      <w:r>
        <w:t xml:space="preserve"> sa 1.539,36 eur na </w:t>
      </w:r>
      <w:r w:rsidR="00B40065">
        <w:t>46.407,10 eur.</w:t>
      </w:r>
    </w:p>
    <w:p w:rsidR="00BA34F9" w:rsidRDefault="00BA34F9" w:rsidP="00BA34F9">
      <w:pPr>
        <w:jc w:val="both"/>
      </w:pPr>
    </w:p>
    <w:p w:rsidR="003A103D" w:rsidRDefault="003A103D" w:rsidP="00DD0F2F">
      <w:pPr>
        <w:jc w:val="both"/>
      </w:pPr>
      <w:r>
        <w:t xml:space="preserve">Na kontu </w:t>
      </w:r>
      <w:r w:rsidRPr="0048116C">
        <w:rPr>
          <w:b/>
        </w:rPr>
        <w:t>2</w:t>
      </w:r>
      <w:r>
        <w:t xml:space="preserve"> Obveze </w:t>
      </w:r>
      <w:r w:rsidR="00DD0F2F">
        <w:t xml:space="preserve">Zavod </w:t>
      </w:r>
      <w:r>
        <w:t xml:space="preserve">bilježi </w:t>
      </w:r>
      <w:r w:rsidR="00DD0F2F">
        <w:t>smanjenje</w:t>
      </w:r>
      <w:r>
        <w:t xml:space="preserve"> sa 5.484.086,04 eur na 4.892.974,89 eur (indeks promjene 89)</w:t>
      </w:r>
      <w:r w:rsidR="00836E79">
        <w:t xml:space="preserve"> </w:t>
      </w:r>
      <w:r w:rsidR="00E40961">
        <w:t>ponajviše kao rezultat smanjenja kreditnog zaduženja iz sredstava za decentralizirane funkcije.</w:t>
      </w:r>
    </w:p>
    <w:p w:rsidR="00E40961" w:rsidRDefault="00E40961" w:rsidP="00DD0F2F">
      <w:pPr>
        <w:jc w:val="both"/>
      </w:pPr>
    </w:p>
    <w:p w:rsidR="00E40961" w:rsidRDefault="00E40961" w:rsidP="00DD0F2F">
      <w:pPr>
        <w:jc w:val="both"/>
      </w:pPr>
      <w:r>
        <w:t>Od postotno većih promjena spomenimo da n</w:t>
      </w:r>
      <w:r w:rsidRPr="00E40961">
        <w:t xml:space="preserve">a kontu </w:t>
      </w:r>
      <w:r w:rsidRPr="00E40961">
        <w:rPr>
          <w:b/>
        </w:rPr>
        <w:t>24</w:t>
      </w:r>
      <w:r w:rsidRPr="00E40961">
        <w:t xml:space="preserve"> Obveze za nabavu nefinancijske imovine Zavod bilježi promjenu sa 2.532,05 eur na 28.102,54 eur (indeks promjene 1.110), primarno za uređenje prijavno-dojavne jedinice i njenu uredsku opremu i namještaj, </w:t>
      </w:r>
      <w:r>
        <w:t xml:space="preserve">a </w:t>
      </w:r>
      <w:r w:rsidRPr="00E40961">
        <w:t>čija je adaptacija započeta u studenom/prosincu 2023.</w:t>
      </w:r>
    </w:p>
    <w:p w:rsidR="00836E79" w:rsidRDefault="00836E79" w:rsidP="00DD0F2F">
      <w:pPr>
        <w:jc w:val="both"/>
      </w:pPr>
    </w:p>
    <w:p w:rsidR="003A103D" w:rsidRDefault="003A103D" w:rsidP="00B919DF">
      <w:pPr>
        <w:jc w:val="both"/>
      </w:pPr>
      <w:r>
        <w:t xml:space="preserve">Na kontu </w:t>
      </w:r>
      <w:r w:rsidRPr="0048116C">
        <w:rPr>
          <w:b/>
        </w:rPr>
        <w:t>9111</w:t>
      </w:r>
      <w:r>
        <w:t xml:space="preserve"> Vlastiti izvori iz proračuna Nastavni zavod za hitnu medicinu Grada Zagreba bilježi </w:t>
      </w:r>
      <w:r w:rsidR="00B919DF">
        <w:t>smanjenje</w:t>
      </w:r>
      <w:r>
        <w:t xml:space="preserve"> sa 5.566.594,24 eur na 4.386.563,42 eur (indeks promjene 79)</w:t>
      </w:r>
      <w:r w:rsidR="00B919DF">
        <w:t xml:space="preserve"> jer ulaganje u nefinancijsku imovinu bilo osjetno manje od godišnjeg iznosa amortizacije.</w:t>
      </w:r>
    </w:p>
    <w:p w:rsidR="00831C9F" w:rsidRDefault="00831C9F" w:rsidP="00B919DF">
      <w:pPr>
        <w:jc w:val="both"/>
      </w:pPr>
    </w:p>
    <w:p w:rsidR="003A103D" w:rsidRDefault="003A103D" w:rsidP="00EF76CF">
      <w:pPr>
        <w:jc w:val="both"/>
      </w:pPr>
      <w:r>
        <w:t xml:space="preserve">Na kontu </w:t>
      </w:r>
      <w:r w:rsidRPr="0048116C">
        <w:rPr>
          <w:b/>
        </w:rPr>
        <w:t>96</w:t>
      </w:r>
      <w:r>
        <w:t xml:space="preserve"> Obračunati prihodi poslovanja Nastavni zavod za hitnu medicinu Grada Zagreba bilježi promjenu sa 1.137.618,11 eur na 1.382.215,51 eur (indeks promjene 122)</w:t>
      </w:r>
      <w:r w:rsidR="00831C9F">
        <w:t xml:space="preserve"> a ti se prihodi odnose na</w:t>
      </w:r>
      <w:r w:rsidR="00B40065">
        <w:t>jvećim dijelom na obračunate prihode od HZZO-a za glavarinu.</w:t>
      </w:r>
      <w:r w:rsidR="00831C9F">
        <w:t xml:space="preserve"> </w:t>
      </w:r>
    </w:p>
    <w:p w:rsidR="00831C9F" w:rsidRDefault="00831C9F" w:rsidP="00831C9F">
      <w:pPr>
        <w:ind w:left="360"/>
        <w:jc w:val="both"/>
      </w:pPr>
    </w:p>
    <w:p w:rsidR="003A103D" w:rsidRDefault="0048116C" w:rsidP="00060EC5">
      <w:pPr>
        <w:jc w:val="both"/>
      </w:pPr>
      <w:r>
        <w:lastRenderedPageBreak/>
        <w:t xml:space="preserve">Na kontu </w:t>
      </w:r>
      <w:r w:rsidR="003A103D" w:rsidRPr="0048116C">
        <w:rPr>
          <w:b/>
        </w:rPr>
        <w:t>16</w:t>
      </w:r>
      <w:r w:rsidR="003A103D">
        <w:t xml:space="preserve"> </w:t>
      </w:r>
      <w:r>
        <w:t>dio p</w:t>
      </w:r>
      <w:r w:rsidR="003A103D">
        <w:t xml:space="preserve">otraživanja za </w:t>
      </w:r>
      <w:r w:rsidR="00B40065">
        <w:t>dospjele prihode poslovanja vidi se porast</w:t>
      </w:r>
      <w:r w:rsidR="003A103D">
        <w:t xml:space="preserve"> sa 23.180,69 eur na 62.854,29 eur (indeks promjene 271)</w:t>
      </w:r>
      <w:r w:rsidR="00B40065">
        <w:t xml:space="preserve"> </w:t>
      </w:r>
      <w:r w:rsidR="000305F3">
        <w:t>no to</w:t>
      </w:r>
      <w:r w:rsidR="00B40065">
        <w:t xml:space="preserve"> su većinom potraživanje dospjela unutar 30 dana, i t</w:t>
      </w:r>
      <w:r w:rsidR="000305F3">
        <w:t xml:space="preserve">o najvećim dijelom </w:t>
      </w:r>
      <w:r w:rsidR="00B40065">
        <w:t>od Croatia osiguranja</w:t>
      </w:r>
      <w:r w:rsidR="000305F3">
        <w:t xml:space="preserve"> za štete te MUP-a za preglede pacijenata.</w:t>
      </w:r>
      <w:r w:rsidR="00060EC5">
        <w:t xml:space="preserve"> N</w:t>
      </w:r>
      <w:r w:rsidR="003A103D">
        <w:t xml:space="preserve">edospjela </w:t>
      </w:r>
      <w:r w:rsidR="00060EC5">
        <w:t>potraživanja povećana su</w:t>
      </w:r>
      <w:r w:rsidR="003A103D">
        <w:t xml:space="preserve"> sa 1.118.131,62 eur na 1.325.766,49 eur (indeks promjene 119)</w:t>
      </w:r>
      <w:r w:rsidR="00060EC5">
        <w:t>.</w:t>
      </w:r>
    </w:p>
    <w:p w:rsidR="00C236F6" w:rsidRDefault="00C236F6" w:rsidP="00791E10">
      <w:pPr>
        <w:jc w:val="both"/>
      </w:pPr>
    </w:p>
    <w:p w:rsidR="00791E10" w:rsidRDefault="0048116C" w:rsidP="00791E10">
      <w:pPr>
        <w:jc w:val="both"/>
      </w:pPr>
      <w:r>
        <w:t xml:space="preserve">Na kontu </w:t>
      </w:r>
      <w:r w:rsidR="00791E10" w:rsidRPr="0048116C">
        <w:rPr>
          <w:b/>
        </w:rPr>
        <w:t>23</w:t>
      </w:r>
      <w:r w:rsidR="00791E10">
        <w:t xml:space="preserve"> </w:t>
      </w:r>
      <w:r>
        <w:t xml:space="preserve">dio Obveza </w:t>
      </w:r>
      <w:r w:rsidR="00791E10">
        <w:t>za rashode poslovanja-</w:t>
      </w:r>
      <w:r w:rsidR="003A103D">
        <w:t xml:space="preserve">dospjele Nastavni zavod za hitnu medicinu Grada Zagreba </w:t>
      </w:r>
      <w:r w:rsidR="00791E10">
        <w:t xml:space="preserve">po prvi puta bilježi saldo dospjelih obveza u iznosu 24.438,29 eur kako bi mogao udovoljiti odlukama o namjenskoj pomoći za sudske presude, dok su nedospjele obveze za 19% uvećane, </w:t>
      </w:r>
      <w:r w:rsidR="003A103D">
        <w:t>sa 1.398</w:t>
      </w:r>
      <w:r w:rsidR="00791E10">
        <w:t>.054,75 eur na 1.664.721,00 eur.</w:t>
      </w:r>
    </w:p>
    <w:p w:rsidR="00791E10" w:rsidRDefault="00791E10" w:rsidP="00791E10">
      <w:pPr>
        <w:jc w:val="both"/>
      </w:pPr>
    </w:p>
    <w:p w:rsidR="003A103D" w:rsidRDefault="0048116C" w:rsidP="00791E10">
      <w:pPr>
        <w:jc w:val="both"/>
      </w:pPr>
      <w:r>
        <w:t xml:space="preserve">Na kontu </w:t>
      </w:r>
      <w:r w:rsidR="00791E10" w:rsidRPr="0048116C">
        <w:rPr>
          <w:b/>
        </w:rPr>
        <w:t>26</w:t>
      </w:r>
      <w:r w:rsidR="00791E10">
        <w:t xml:space="preserve"> </w:t>
      </w:r>
      <w:r>
        <w:t>dio Obveza</w:t>
      </w:r>
      <w:r w:rsidR="00791E10">
        <w:t xml:space="preserve"> za kredite i zajmove-</w:t>
      </w:r>
      <w:r w:rsidR="003A103D">
        <w:t xml:space="preserve">nedospjele </w:t>
      </w:r>
      <w:r w:rsidR="00791E10">
        <w:t xml:space="preserve">Zavod </w:t>
      </w:r>
      <w:r w:rsidR="003A103D">
        <w:t>bilježi promjenu sa 4.082.520,41 eur na 3.175.293,65 eur (indeks promjene 78)</w:t>
      </w:r>
      <w:r w:rsidR="00791E10">
        <w:t xml:space="preserve"> što je u skladu s redovnom otplatom kredita koji ima dospijeće 2027. godine</w:t>
      </w:r>
    </w:p>
    <w:p w:rsidR="003D3AD4" w:rsidRDefault="003D3AD4" w:rsidP="0008370C"/>
    <w:p w:rsidR="001568DC" w:rsidRPr="001568DC" w:rsidRDefault="005F0DA6" w:rsidP="001568DC">
      <w:pPr>
        <w:keepNext/>
        <w:keepLines/>
        <w:numPr>
          <w:ilvl w:val="0"/>
          <w:numId w:val="4"/>
        </w:numPr>
        <w:spacing w:before="40"/>
        <w:outlineLvl w:val="1"/>
        <w:rPr>
          <w:rFonts w:asciiTheme="majorHAnsi" w:eastAsiaTheme="majorEastAsia" w:hAnsiTheme="majorHAnsi" w:cstheme="majorBidi"/>
          <w:color w:val="2E74B5" w:themeColor="accent1" w:themeShade="BF"/>
          <w:sz w:val="26"/>
          <w:szCs w:val="26"/>
        </w:rPr>
      </w:pPr>
      <w:bookmarkStart w:id="5" w:name="_Toc157592716"/>
      <w:r>
        <w:rPr>
          <w:rFonts w:asciiTheme="majorHAnsi" w:eastAsiaTheme="majorEastAsia" w:hAnsiTheme="majorHAnsi" w:cstheme="majorBidi"/>
          <w:color w:val="2E74B5" w:themeColor="accent1" w:themeShade="BF"/>
          <w:sz w:val="26"/>
          <w:szCs w:val="26"/>
        </w:rPr>
        <w:t>Komentar iz</w:t>
      </w:r>
      <w:r w:rsidR="001568DC" w:rsidRPr="001568DC">
        <w:rPr>
          <w:rFonts w:asciiTheme="majorHAnsi" w:eastAsiaTheme="majorEastAsia" w:hAnsiTheme="majorHAnsi" w:cstheme="majorBidi"/>
          <w:color w:val="2E74B5" w:themeColor="accent1" w:themeShade="BF"/>
          <w:sz w:val="26"/>
          <w:szCs w:val="26"/>
        </w:rPr>
        <w:t>vanbilančnih stavki</w:t>
      </w:r>
      <w:bookmarkEnd w:id="5"/>
    </w:p>
    <w:p w:rsidR="001568DC" w:rsidRPr="001568DC" w:rsidRDefault="001568DC" w:rsidP="001568DC">
      <w:pPr>
        <w:keepNext/>
        <w:keepLines/>
        <w:numPr>
          <w:ilvl w:val="0"/>
          <w:numId w:val="2"/>
        </w:numPr>
        <w:spacing w:before="40"/>
        <w:outlineLvl w:val="2"/>
        <w:rPr>
          <w:rFonts w:asciiTheme="majorHAnsi" w:eastAsiaTheme="majorEastAsia" w:hAnsiTheme="majorHAnsi" w:cstheme="majorBidi"/>
          <w:color w:val="1F4D78" w:themeColor="accent1" w:themeShade="7F"/>
          <w:sz w:val="24"/>
          <w:szCs w:val="24"/>
        </w:rPr>
      </w:pPr>
      <w:bookmarkStart w:id="6" w:name="_Toc157592717"/>
      <w:r w:rsidRPr="001568DC">
        <w:rPr>
          <w:rFonts w:asciiTheme="majorHAnsi" w:eastAsiaTheme="majorEastAsia" w:hAnsiTheme="majorHAnsi" w:cstheme="majorBidi"/>
          <w:color w:val="1F4D78" w:themeColor="accent1" w:themeShade="7F"/>
          <w:sz w:val="24"/>
          <w:szCs w:val="24"/>
        </w:rPr>
        <w:t>Popis ugovornih odnosa i slično koji uz ispunjenje određenih uvjeta, mogu postati obveza ili imovina (dana kreditna pisma, hipoteke i slično)</w:t>
      </w:r>
      <w:bookmarkEnd w:id="6"/>
    </w:p>
    <w:p w:rsidR="005F0DA6" w:rsidRDefault="005F0DA6" w:rsidP="001568DC">
      <w:pPr>
        <w:jc w:val="both"/>
      </w:pPr>
    </w:p>
    <w:p w:rsidR="001568DC" w:rsidRPr="001568DC" w:rsidRDefault="001568DC" w:rsidP="001568DC">
      <w:pPr>
        <w:jc w:val="both"/>
      </w:pPr>
      <w:r w:rsidRPr="001568DC">
        <w:t xml:space="preserve">Dopisom Ministarstva zdravstva od 8. studenoga 2023., Zavod je obaviješten </w:t>
      </w:r>
      <w:r w:rsidR="00241383">
        <w:t>kako</w:t>
      </w:r>
      <w:r w:rsidRPr="001568DC">
        <w:t xml:space="preserve"> je naknadnom analizom utvrđeno da u 2022. sredstva isplaćena od strane Ministarstva zdravstva temeljem Odluke o isplati razlike iznosa uvećanja plaće za prekovremeni rad radnicima u djelatnosti zdravstva i zdravstvenog osiguranja </w:t>
      </w:r>
      <w:r w:rsidR="00241383">
        <w:t>(NN 101/</w:t>
      </w:r>
      <w:r w:rsidRPr="001568DC">
        <w:t>21), nisu od strane Zavoda utrošena namjenski te se slijedom navedenoga zahtijeva povrat sredstava</w:t>
      </w:r>
      <w:r w:rsidR="005F0DA6">
        <w:t xml:space="preserve"> </w:t>
      </w:r>
      <w:r w:rsidR="005F0DA6" w:rsidRPr="005F0DA6">
        <w:t>putem Osnivača, Grada Zagreba,</w:t>
      </w:r>
      <w:r w:rsidRPr="001568DC">
        <w:t xml:space="preserve"> u iznosu 331.751,51 eura u državni proračun.</w:t>
      </w:r>
    </w:p>
    <w:p w:rsidR="001568DC" w:rsidRPr="001568DC" w:rsidRDefault="001568DC" w:rsidP="001568DC">
      <w:pPr>
        <w:jc w:val="both"/>
      </w:pPr>
      <w:r w:rsidRPr="001568DC">
        <w:t>Ne ulazeći u širu raspravu o ne</w:t>
      </w:r>
      <w:r w:rsidR="005F0DA6">
        <w:t xml:space="preserve">postojanju odgovornosti Zavoda </w:t>
      </w:r>
      <w:r w:rsidRPr="001568DC">
        <w:t>za utvrđivanje osnovice plaće u javnim službama, kao ni za nepravilni obraču</w:t>
      </w:r>
      <w:r w:rsidR="005F0DA6">
        <w:t xml:space="preserve">n plaće, </w:t>
      </w:r>
      <w:r w:rsidR="00241383">
        <w:t xml:space="preserve">Zavod je </w:t>
      </w:r>
      <w:r w:rsidRPr="001568DC">
        <w:t xml:space="preserve">u potpunosti preuzeo opterećenje koje su izazvale sudske tužbe radnika (v. točku </w:t>
      </w:r>
      <w:r w:rsidR="005C21EA">
        <w:t>„</w:t>
      </w:r>
      <w:r w:rsidRPr="001568DC">
        <w:t>2)</w:t>
      </w:r>
      <w:r w:rsidR="005C21EA">
        <w:t xml:space="preserve"> </w:t>
      </w:r>
      <w:r w:rsidRPr="001568DC">
        <w:t>Popis sudskih sporova</w:t>
      </w:r>
      <w:r w:rsidR="005C21EA">
        <w:t>“</w:t>
      </w:r>
      <w:r w:rsidRPr="001568DC">
        <w:t>).</w:t>
      </w:r>
    </w:p>
    <w:p w:rsidR="001568DC" w:rsidRPr="001568DC" w:rsidRDefault="001568DC" w:rsidP="001568DC">
      <w:pPr>
        <w:jc w:val="both"/>
      </w:pPr>
      <w:r w:rsidRPr="001568DC">
        <w:t xml:space="preserve">Obzirom da Zavod nije ni teoretski mogao prikazati da refundirane iznose može isplatiti dobavljačima u izuzetno kratkom periodu </w:t>
      </w:r>
      <w:r w:rsidR="005C21EA">
        <w:t xml:space="preserve">predviđenom </w:t>
      </w:r>
      <w:r w:rsidR="005F0DA6">
        <w:t xml:space="preserve">za pravdanje </w:t>
      </w:r>
      <w:r w:rsidRPr="001568DC">
        <w:t xml:space="preserve">osim da se prekrši pravilo za zakonito, namjensko i svrhovito korištenje sredstava, a </w:t>
      </w:r>
      <w:r w:rsidR="00241383">
        <w:t xml:space="preserve">tim više što Zavod isto nije ni prikrivao </w:t>
      </w:r>
      <w:r w:rsidRPr="001568DC">
        <w:t xml:space="preserve">već je prilikom svakog pravdanja jasno naglašavano da Zavod nema dospjelih obveza prema dobavljačima </w:t>
      </w:r>
      <w:r w:rsidR="005F0DA6">
        <w:t xml:space="preserve">i da </w:t>
      </w:r>
      <w:r w:rsidRPr="001568DC">
        <w:t xml:space="preserve">sve svoje obveze podmiruje u roku, Ministarstvo zdravstva </w:t>
      </w:r>
      <w:r w:rsidR="00241383">
        <w:t xml:space="preserve">ipak </w:t>
      </w:r>
      <w:r w:rsidRPr="001568DC">
        <w:t xml:space="preserve">donosi ocjenu </w:t>
      </w:r>
      <w:r w:rsidR="00241383">
        <w:t>da</w:t>
      </w:r>
      <w:r w:rsidRPr="001568DC">
        <w:t xml:space="preserve"> su refundirana sredstva bila nenamjenski utrošena.</w:t>
      </w:r>
    </w:p>
    <w:p w:rsidR="001568DC" w:rsidRPr="001568DC" w:rsidRDefault="001568DC" w:rsidP="001568DC">
      <w:pPr>
        <w:jc w:val="both"/>
      </w:pPr>
    </w:p>
    <w:p w:rsidR="001568DC" w:rsidRPr="001568DC" w:rsidRDefault="001568DC" w:rsidP="001568DC">
      <w:pPr>
        <w:jc w:val="both"/>
      </w:pPr>
      <w:r w:rsidRPr="001568DC">
        <w:t xml:space="preserve">Zdravstvene ustanove u izvještajima o pravdanju sredstava bile su dužne navesti kojim dobavljačima lijekova i potrošnog medicinskog materijala (ili ako nema takvih obveza, ostalih rashoda s konta skupine 322) su izvršile uplatu namjenski doznačenih sredstava u svrhu smanjenja obveza. </w:t>
      </w:r>
    </w:p>
    <w:p w:rsidR="001568DC" w:rsidRPr="001568DC" w:rsidRDefault="001568DC" w:rsidP="001568DC">
      <w:pPr>
        <w:jc w:val="both"/>
      </w:pPr>
    </w:p>
    <w:p w:rsidR="001568DC" w:rsidRPr="001568DC" w:rsidRDefault="001568DC" w:rsidP="001568DC">
      <w:pPr>
        <w:jc w:val="both"/>
      </w:pPr>
      <w:r w:rsidRPr="001568DC">
        <w:t>Zavod je kontinuirano, pisanim putem, izvještavao kako u svom poslovanju u svakom trenutku nema dospjelih obveza jer sve svoje obveze plaća o dospijeću sukladno preuzetim ugovornim obvezama te se drži ugovornog terminskog plana plaćanja. Navedeno predstavlja primjer poželjnog ponašanja i rijetkost je u zdravstvenom sustavu.</w:t>
      </w:r>
    </w:p>
    <w:p w:rsidR="001568DC" w:rsidRPr="001568DC" w:rsidRDefault="001568DC" w:rsidP="001568DC">
      <w:pPr>
        <w:jc w:val="both"/>
      </w:pPr>
    </w:p>
    <w:p w:rsidR="001568DC" w:rsidRPr="001568DC" w:rsidRDefault="001568DC" w:rsidP="001568DC">
      <w:pPr>
        <w:jc w:val="both"/>
      </w:pPr>
      <w:r w:rsidRPr="001568DC">
        <w:t xml:space="preserve">Zavod je od dana zaprimanja dopisa o mogućem povratu u kontinuiranoj suradnji s osnivačem te će se u 2024. </w:t>
      </w:r>
      <w:r w:rsidR="005F0DA6">
        <w:t>vidjeti modalitet rješavanja</w:t>
      </w:r>
      <w:r w:rsidR="005C21EA">
        <w:t xml:space="preserve"> situacije</w:t>
      </w:r>
      <w:r w:rsidR="00B04B9B">
        <w:t xml:space="preserve"> opisane </w:t>
      </w:r>
      <w:r w:rsidR="001F5B6B">
        <w:t xml:space="preserve">predmetnim </w:t>
      </w:r>
      <w:r w:rsidR="00B04B9B">
        <w:t xml:space="preserve">dopisom </w:t>
      </w:r>
      <w:r w:rsidR="00B04B9B" w:rsidRPr="00B04B9B">
        <w:t>Ministarstv</w:t>
      </w:r>
      <w:r w:rsidR="001F5B6B">
        <w:t>a</w:t>
      </w:r>
      <w:r w:rsidR="00B04B9B" w:rsidRPr="00B04B9B">
        <w:t xml:space="preserve"> zdravstva</w:t>
      </w:r>
      <w:r w:rsidR="00B04B9B">
        <w:t>.</w:t>
      </w:r>
    </w:p>
    <w:p w:rsidR="001568DC" w:rsidRDefault="001568DC" w:rsidP="0008370C"/>
    <w:p w:rsidR="005F0DA6" w:rsidRPr="001568DC" w:rsidRDefault="005F0DA6" w:rsidP="005F0DA6">
      <w:pPr>
        <w:keepNext/>
        <w:keepLines/>
        <w:numPr>
          <w:ilvl w:val="0"/>
          <w:numId w:val="2"/>
        </w:numPr>
        <w:spacing w:before="40"/>
        <w:outlineLvl w:val="2"/>
        <w:rPr>
          <w:rFonts w:asciiTheme="majorHAnsi" w:eastAsiaTheme="majorEastAsia" w:hAnsiTheme="majorHAnsi" w:cstheme="majorBidi"/>
          <w:color w:val="1F4D78" w:themeColor="accent1" w:themeShade="7F"/>
          <w:sz w:val="24"/>
          <w:szCs w:val="24"/>
        </w:rPr>
      </w:pPr>
      <w:bookmarkStart w:id="7" w:name="_Toc157592718"/>
      <w:r w:rsidRPr="001568DC">
        <w:rPr>
          <w:rFonts w:asciiTheme="majorHAnsi" w:eastAsiaTheme="majorEastAsia" w:hAnsiTheme="majorHAnsi" w:cstheme="majorBidi"/>
          <w:color w:val="1F4D78" w:themeColor="accent1" w:themeShade="7F"/>
          <w:sz w:val="24"/>
          <w:szCs w:val="24"/>
        </w:rPr>
        <w:t>Popis sudskih sporova</w:t>
      </w:r>
      <w:bookmarkEnd w:id="7"/>
    </w:p>
    <w:tbl>
      <w:tblPr>
        <w:tblpPr w:leftFromText="180" w:rightFromText="180" w:vertAnchor="text" w:horzAnchor="margin" w:tblpY="54"/>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499"/>
        <w:gridCol w:w="1752"/>
        <w:gridCol w:w="4163"/>
        <w:gridCol w:w="1605"/>
      </w:tblGrid>
      <w:tr w:rsidR="009F760B" w:rsidRPr="009F760B" w:rsidTr="005E58FC">
        <w:trPr>
          <w:trHeight w:val="1108"/>
        </w:trPr>
        <w:tc>
          <w:tcPr>
            <w:tcW w:w="471" w:type="dxa"/>
            <w:tcBorders>
              <w:top w:val="double" w:sz="4" w:space="0" w:color="auto"/>
              <w:left w:val="double" w:sz="4" w:space="0" w:color="auto"/>
              <w:bottom w:val="double" w:sz="4" w:space="0" w:color="auto"/>
              <w:right w:val="double" w:sz="4" w:space="0" w:color="auto"/>
            </w:tcBorders>
            <w:shd w:val="clear" w:color="auto" w:fill="BFBFBF"/>
            <w:vAlign w:val="center"/>
          </w:tcPr>
          <w:p w:rsidR="009F760B" w:rsidRPr="009F760B" w:rsidRDefault="009F760B" w:rsidP="009F760B">
            <w:pPr>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Br</w:t>
            </w:r>
          </w:p>
        </w:tc>
        <w:tc>
          <w:tcPr>
            <w:tcW w:w="1499" w:type="dxa"/>
            <w:tcBorders>
              <w:top w:val="double" w:sz="4" w:space="0" w:color="auto"/>
              <w:left w:val="double" w:sz="4" w:space="0" w:color="auto"/>
              <w:bottom w:val="double" w:sz="4" w:space="0" w:color="auto"/>
              <w:right w:val="double" w:sz="4" w:space="0" w:color="auto"/>
            </w:tcBorders>
            <w:shd w:val="clear" w:color="auto" w:fill="BFBFBF"/>
            <w:vAlign w:val="center"/>
          </w:tcPr>
          <w:p w:rsidR="009F760B" w:rsidRPr="009F760B" w:rsidRDefault="009F760B" w:rsidP="009F760B">
            <w:pPr>
              <w:rPr>
                <w:rFonts w:ascii="Calibri" w:eastAsia="Times New Roman" w:hAnsi="Calibri" w:cs="Calibri"/>
                <w:sz w:val="24"/>
                <w:szCs w:val="24"/>
                <w:lang w:eastAsia="hr-HR"/>
              </w:rPr>
            </w:pPr>
            <w:r w:rsidRPr="009F760B">
              <w:rPr>
                <w:rFonts w:ascii="Calibri" w:eastAsia="Times New Roman" w:hAnsi="Calibri" w:cs="Calibri"/>
                <w:szCs w:val="24"/>
                <w:lang w:eastAsia="hr-HR"/>
              </w:rPr>
              <w:t>TUŽITELJ</w:t>
            </w:r>
          </w:p>
        </w:tc>
        <w:tc>
          <w:tcPr>
            <w:tcW w:w="1752" w:type="dxa"/>
            <w:tcBorders>
              <w:top w:val="double" w:sz="4" w:space="0" w:color="auto"/>
              <w:left w:val="double" w:sz="4" w:space="0" w:color="auto"/>
              <w:bottom w:val="double" w:sz="4" w:space="0" w:color="auto"/>
              <w:right w:val="double" w:sz="4" w:space="0" w:color="auto"/>
            </w:tcBorders>
            <w:shd w:val="clear" w:color="auto" w:fill="BFBFBF"/>
            <w:vAlign w:val="center"/>
          </w:tcPr>
          <w:p w:rsidR="009F760B" w:rsidRPr="009F760B" w:rsidRDefault="009F760B" w:rsidP="009F760B">
            <w:pPr>
              <w:rPr>
                <w:rFonts w:ascii="Calibri" w:eastAsia="Times New Roman" w:hAnsi="Calibri" w:cs="Calibri"/>
                <w:sz w:val="24"/>
                <w:szCs w:val="24"/>
                <w:lang w:eastAsia="hr-HR"/>
              </w:rPr>
            </w:pPr>
            <w:r w:rsidRPr="009F760B">
              <w:rPr>
                <w:rFonts w:ascii="Calibri" w:eastAsia="Times New Roman" w:hAnsi="Calibri" w:cs="Calibri"/>
                <w:szCs w:val="24"/>
                <w:lang w:eastAsia="hr-HR"/>
              </w:rPr>
              <w:t>TUŽBENI</w:t>
            </w:r>
          </w:p>
          <w:p w:rsidR="009F760B" w:rsidRPr="009F760B" w:rsidRDefault="009F760B" w:rsidP="009F760B">
            <w:pPr>
              <w:rPr>
                <w:rFonts w:ascii="Calibri" w:eastAsia="Times New Roman" w:hAnsi="Calibri" w:cs="Calibri"/>
                <w:sz w:val="24"/>
                <w:szCs w:val="24"/>
                <w:lang w:eastAsia="hr-HR"/>
              </w:rPr>
            </w:pPr>
            <w:r w:rsidRPr="009F760B">
              <w:rPr>
                <w:rFonts w:ascii="Calibri" w:eastAsia="Times New Roman" w:hAnsi="Calibri" w:cs="Calibri"/>
                <w:szCs w:val="24"/>
                <w:lang w:eastAsia="hr-HR"/>
              </w:rPr>
              <w:t>ZAHTJEV</w:t>
            </w:r>
          </w:p>
        </w:tc>
        <w:tc>
          <w:tcPr>
            <w:tcW w:w="4163" w:type="dxa"/>
            <w:tcBorders>
              <w:top w:val="double" w:sz="4" w:space="0" w:color="auto"/>
              <w:left w:val="double" w:sz="4" w:space="0" w:color="auto"/>
              <w:bottom w:val="double" w:sz="4" w:space="0" w:color="auto"/>
              <w:right w:val="double" w:sz="4" w:space="0" w:color="auto"/>
            </w:tcBorders>
            <w:shd w:val="clear" w:color="auto" w:fill="BFBFBF"/>
            <w:vAlign w:val="center"/>
          </w:tcPr>
          <w:p w:rsidR="009F760B" w:rsidRPr="009F760B" w:rsidRDefault="009F760B" w:rsidP="009F760B">
            <w:pPr>
              <w:rPr>
                <w:rFonts w:ascii="Calibri" w:eastAsia="Times New Roman" w:hAnsi="Calibri" w:cs="Calibri"/>
                <w:sz w:val="24"/>
                <w:szCs w:val="24"/>
                <w:lang w:eastAsia="hr-HR"/>
              </w:rPr>
            </w:pPr>
            <w:r w:rsidRPr="009F760B">
              <w:rPr>
                <w:rFonts w:ascii="Calibri" w:eastAsia="Times New Roman" w:hAnsi="Calibri" w:cs="Calibri"/>
                <w:szCs w:val="24"/>
                <w:lang w:eastAsia="hr-HR"/>
              </w:rPr>
              <w:t>Opis predmeta</w:t>
            </w:r>
          </w:p>
        </w:tc>
        <w:tc>
          <w:tcPr>
            <w:tcW w:w="1605" w:type="dxa"/>
            <w:tcBorders>
              <w:top w:val="double" w:sz="4" w:space="0" w:color="auto"/>
              <w:left w:val="double" w:sz="4" w:space="0" w:color="auto"/>
              <w:bottom w:val="double" w:sz="4" w:space="0" w:color="auto"/>
              <w:right w:val="double" w:sz="4" w:space="0" w:color="auto"/>
            </w:tcBorders>
            <w:shd w:val="clear" w:color="auto" w:fill="BFBFBF"/>
            <w:vAlign w:val="center"/>
          </w:tcPr>
          <w:p w:rsidR="009F760B" w:rsidRPr="009F760B" w:rsidRDefault="009F760B" w:rsidP="009F760B">
            <w:pPr>
              <w:rPr>
                <w:rFonts w:ascii="Calibri" w:eastAsia="Times New Roman" w:hAnsi="Calibri" w:cs="Calibri"/>
                <w:szCs w:val="24"/>
                <w:lang w:eastAsia="hr-HR"/>
              </w:rPr>
            </w:pPr>
            <w:r w:rsidRPr="009F760B">
              <w:rPr>
                <w:rFonts w:ascii="Calibri" w:eastAsia="Times New Roman" w:hAnsi="Calibri" w:cs="Calibri"/>
                <w:szCs w:val="24"/>
                <w:lang w:eastAsia="hr-HR"/>
              </w:rPr>
              <w:t>Nastavni zavod za hitnu medicinu Grada Zagreba  u sudskom sporu zastupa:</w:t>
            </w:r>
          </w:p>
        </w:tc>
      </w:tr>
      <w:tr w:rsidR="009F760B" w:rsidRPr="009F760B" w:rsidTr="009F760B">
        <w:trPr>
          <w:trHeight w:val="375"/>
        </w:trPr>
        <w:tc>
          <w:tcPr>
            <w:tcW w:w="471" w:type="dxa"/>
            <w:tcBorders>
              <w:top w:val="double" w:sz="4" w:space="0" w:color="auto"/>
              <w:bottom w:val="single" w:sz="4" w:space="0" w:color="auto"/>
            </w:tcBorders>
            <w:shd w:val="clear" w:color="auto" w:fill="FFFFFF"/>
            <w:vAlign w:val="center"/>
          </w:tcPr>
          <w:p w:rsidR="009F760B" w:rsidRPr="009F760B" w:rsidRDefault="009F760B" w:rsidP="009F760B">
            <w:pPr>
              <w:numPr>
                <w:ilvl w:val="0"/>
                <w:numId w:val="7"/>
              </w:numPr>
              <w:spacing w:after="160" w:line="259" w:lineRule="auto"/>
              <w:rPr>
                <w:rFonts w:ascii="Calibri" w:eastAsia="Times New Roman" w:hAnsi="Calibri" w:cs="Calibri"/>
                <w:sz w:val="20"/>
                <w:szCs w:val="20"/>
                <w:lang w:eastAsia="hr-HR"/>
              </w:rPr>
            </w:pPr>
          </w:p>
        </w:tc>
        <w:tc>
          <w:tcPr>
            <w:tcW w:w="1499" w:type="dxa"/>
            <w:tcBorders>
              <w:top w:val="double" w:sz="4" w:space="0" w:color="auto"/>
              <w:bottom w:val="single" w:sz="4" w:space="0" w:color="auto"/>
            </w:tcBorders>
            <w:shd w:val="clear" w:color="auto" w:fill="FFFFFF"/>
            <w:vAlign w:val="center"/>
          </w:tcPr>
          <w:p w:rsidR="009F760B" w:rsidRPr="009F760B" w:rsidRDefault="009F760B" w:rsidP="009F760B">
            <w:pPr>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Ivan Novak</w:t>
            </w:r>
          </w:p>
        </w:tc>
        <w:tc>
          <w:tcPr>
            <w:tcW w:w="1752" w:type="dxa"/>
            <w:tcBorders>
              <w:top w:val="double" w:sz="4" w:space="0" w:color="auto"/>
              <w:bottom w:val="single" w:sz="4" w:space="0" w:color="auto"/>
            </w:tcBorders>
            <w:shd w:val="clear" w:color="auto" w:fill="FFFFFF"/>
            <w:vAlign w:val="center"/>
          </w:tcPr>
          <w:p w:rsidR="009F760B" w:rsidRPr="009F760B" w:rsidRDefault="009F760B" w:rsidP="009F760B">
            <w:pPr>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Nije specificiran</w:t>
            </w:r>
          </w:p>
        </w:tc>
        <w:tc>
          <w:tcPr>
            <w:tcW w:w="4163" w:type="dxa"/>
            <w:tcBorders>
              <w:top w:val="double" w:sz="4" w:space="0" w:color="auto"/>
              <w:bottom w:val="single" w:sz="4" w:space="0" w:color="auto"/>
            </w:tcBorders>
            <w:shd w:val="clear" w:color="auto" w:fill="FFFFFF"/>
            <w:vAlign w:val="center"/>
          </w:tcPr>
          <w:p w:rsidR="009F760B" w:rsidRPr="009F760B" w:rsidRDefault="009F760B" w:rsidP="009F760B">
            <w:pPr>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 xml:space="preserve">- naknada štete iz 2005. godine </w:t>
            </w:r>
          </w:p>
          <w:p w:rsidR="009F760B" w:rsidRPr="009F760B" w:rsidRDefault="009F760B" w:rsidP="009F760B">
            <w:pPr>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 xml:space="preserve">- </w:t>
            </w:r>
            <w:r w:rsidRPr="009F760B">
              <w:rPr>
                <w:rFonts w:ascii="Calibri" w:eastAsia="Times New Roman" w:hAnsi="Calibri" w:cs="Calibri"/>
                <w:sz w:val="20"/>
                <w:szCs w:val="20"/>
                <w:u w:val="single"/>
                <w:lang w:eastAsia="hr-HR"/>
              </w:rPr>
              <w:t>2007. prekid postupka</w:t>
            </w:r>
            <w:r w:rsidRPr="009F760B">
              <w:rPr>
                <w:rFonts w:ascii="Calibri" w:eastAsia="Times New Roman" w:hAnsi="Calibri" w:cs="Calibri"/>
                <w:sz w:val="20"/>
                <w:szCs w:val="20"/>
                <w:lang w:eastAsia="hr-HR"/>
              </w:rPr>
              <w:t xml:space="preserve"> radi oduzimanja posl. sposobnosti</w:t>
            </w:r>
          </w:p>
          <w:p w:rsidR="009F760B" w:rsidRPr="009F760B" w:rsidRDefault="009F760B" w:rsidP="009F760B">
            <w:pPr>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 II. tuženik PB Sv. Ivan</w:t>
            </w:r>
          </w:p>
        </w:tc>
        <w:tc>
          <w:tcPr>
            <w:tcW w:w="1605" w:type="dxa"/>
            <w:tcBorders>
              <w:top w:val="double" w:sz="4" w:space="0" w:color="auto"/>
              <w:bottom w:val="single" w:sz="4" w:space="0" w:color="auto"/>
            </w:tcBorders>
            <w:shd w:val="clear" w:color="auto" w:fill="FFFFFF"/>
            <w:vAlign w:val="center"/>
          </w:tcPr>
          <w:p w:rsidR="009F760B" w:rsidRPr="009F760B" w:rsidRDefault="009F760B" w:rsidP="009F760B">
            <w:pPr>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samostalno</w:t>
            </w:r>
          </w:p>
        </w:tc>
      </w:tr>
      <w:tr w:rsidR="009F760B" w:rsidRPr="009F760B" w:rsidTr="009F760B">
        <w:trPr>
          <w:trHeight w:val="375"/>
        </w:trPr>
        <w:tc>
          <w:tcPr>
            <w:tcW w:w="471" w:type="dxa"/>
            <w:tcBorders>
              <w:top w:val="single" w:sz="4" w:space="0" w:color="auto"/>
              <w:bottom w:val="single" w:sz="4" w:space="0" w:color="auto"/>
            </w:tcBorders>
            <w:shd w:val="clear" w:color="auto" w:fill="FFFFFF"/>
            <w:vAlign w:val="center"/>
          </w:tcPr>
          <w:p w:rsidR="009F760B" w:rsidRPr="009F760B" w:rsidRDefault="009F760B" w:rsidP="009F760B">
            <w:pPr>
              <w:numPr>
                <w:ilvl w:val="0"/>
                <w:numId w:val="7"/>
              </w:numPr>
              <w:spacing w:after="160" w:line="259" w:lineRule="auto"/>
              <w:rPr>
                <w:rFonts w:ascii="Calibri" w:eastAsia="Times New Roman" w:hAnsi="Calibri" w:cs="Calibri"/>
                <w:sz w:val="20"/>
                <w:szCs w:val="20"/>
                <w:lang w:eastAsia="hr-HR"/>
              </w:rPr>
            </w:pPr>
          </w:p>
        </w:tc>
        <w:tc>
          <w:tcPr>
            <w:tcW w:w="1499" w:type="dxa"/>
            <w:tcBorders>
              <w:top w:val="single" w:sz="4" w:space="0" w:color="auto"/>
              <w:bottom w:val="single" w:sz="4" w:space="0" w:color="auto"/>
            </w:tcBorders>
            <w:shd w:val="clear" w:color="auto" w:fill="FFFFFF"/>
            <w:vAlign w:val="center"/>
          </w:tcPr>
          <w:p w:rsidR="009F760B" w:rsidRPr="009F760B" w:rsidRDefault="009F760B" w:rsidP="009F760B">
            <w:pPr>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Zvonko Biondić i dr.(6)</w:t>
            </w:r>
          </w:p>
        </w:tc>
        <w:tc>
          <w:tcPr>
            <w:tcW w:w="1752" w:type="dxa"/>
            <w:tcBorders>
              <w:top w:val="single" w:sz="4" w:space="0" w:color="auto"/>
              <w:bottom w:val="single" w:sz="4" w:space="0" w:color="auto"/>
            </w:tcBorders>
            <w:shd w:val="clear" w:color="auto" w:fill="FFFFFF"/>
            <w:vAlign w:val="center"/>
          </w:tcPr>
          <w:p w:rsidR="009F760B" w:rsidRPr="009F760B" w:rsidRDefault="009F760B" w:rsidP="009F760B">
            <w:pPr>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2.628.500,00 kn/</w:t>
            </w:r>
            <w:r w:rsidRPr="009F760B">
              <w:rPr>
                <w:rFonts w:ascii="Calibri" w:eastAsia="Calibri" w:hAnsi="Calibri" w:cs="Calibri"/>
              </w:rPr>
              <w:t xml:space="preserve"> </w:t>
            </w:r>
            <w:r w:rsidRPr="009F760B">
              <w:rPr>
                <w:rFonts w:ascii="Calibri" w:eastAsia="Times New Roman" w:hAnsi="Calibri" w:cs="Calibri"/>
                <w:sz w:val="20"/>
                <w:szCs w:val="20"/>
                <w:lang w:eastAsia="hr-HR"/>
              </w:rPr>
              <w:t>348.861,90 EUR</w:t>
            </w:r>
          </w:p>
        </w:tc>
        <w:tc>
          <w:tcPr>
            <w:tcW w:w="4163" w:type="dxa"/>
            <w:tcBorders>
              <w:top w:val="single" w:sz="4" w:space="0" w:color="auto"/>
              <w:bottom w:val="single" w:sz="4" w:space="0" w:color="auto"/>
            </w:tcBorders>
            <w:shd w:val="clear" w:color="auto" w:fill="FFFFFF"/>
            <w:vAlign w:val="center"/>
          </w:tcPr>
          <w:p w:rsidR="009F760B" w:rsidRPr="009F760B" w:rsidRDefault="009F760B" w:rsidP="009F760B">
            <w:pPr>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  naknada štete iz 2008. (II. tim upućen na intervenciju zbog „neispravnog“ defibrilatora - oštećenje mozga i doživotna njega)</w:t>
            </w:r>
          </w:p>
          <w:p w:rsidR="009F760B" w:rsidRPr="009F760B" w:rsidRDefault="009F760B" w:rsidP="009F760B">
            <w:pPr>
              <w:numPr>
                <w:ilvl w:val="0"/>
                <w:numId w:val="8"/>
              </w:numPr>
              <w:spacing w:after="160" w:line="259" w:lineRule="auto"/>
              <w:contextualSpacing/>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I.st. presuda: odbijen tužbeni zahtjev, parnični trošak: 670.133,13 kn (1.9.2022.)</w:t>
            </w:r>
          </w:p>
          <w:p w:rsidR="009F760B" w:rsidRPr="009F760B" w:rsidRDefault="009F760B" w:rsidP="009F760B">
            <w:pPr>
              <w:numPr>
                <w:ilvl w:val="0"/>
                <w:numId w:val="8"/>
              </w:numPr>
              <w:spacing w:after="160" w:line="259" w:lineRule="auto"/>
              <w:contextualSpacing/>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II. st. presuda: potvrđena I.st. presuda u dijelu kojim se odbija tužbeni zahtjev, a u dijelu koji se odnosi na troškove postupka predmet vraćen na ponovni postupak uz pozivanje na presudu Čović vs RH (nametanje znatnog opterećenja nakon završetka postupka (znatnih troškova) može predstavljati ograničenje prava na sud zajamčenog Europskom konvencijom za zaštitu ljudskih prava i temeljnih sloboda) (28.3.2023.)</w:t>
            </w:r>
          </w:p>
          <w:p w:rsidR="009F760B" w:rsidRPr="009F760B" w:rsidRDefault="009F760B" w:rsidP="009F760B">
            <w:pPr>
              <w:numPr>
                <w:ilvl w:val="0"/>
                <w:numId w:val="8"/>
              </w:numPr>
              <w:spacing w:after="160" w:line="259" w:lineRule="auto"/>
              <w:contextualSpacing/>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tužitelj podnio prijedlog za dopuštenje revizije (13.10.2023.)</w:t>
            </w:r>
          </w:p>
          <w:p w:rsidR="009F760B" w:rsidRPr="009F760B" w:rsidRDefault="009F760B" w:rsidP="009F760B">
            <w:pPr>
              <w:numPr>
                <w:ilvl w:val="0"/>
                <w:numId w:val="8"/>
              </w:numPr>
              <w:spacing w:after="160" w:line="259" w:lineRule="auto"/>
              <w:contextualSpacing/>
              <w:rPr>
                <w:rFonts w:ascii="Calibri" w:eastAsia="Times New Roman" w:hAnsi="Calibri" w:cs="Calibri"/>
                <w:sz w:val="20"/>
                <w:szCs w:val="20"/>
                <w:lang w:eastAsia="hr-HR"/>
              </w:rPr>
            </w:pPr>
            <w:r w:rsidRPr="009F760B">
              <w:rPr>
                <w:rFonts w:ascii="Calibri" w:eastAsia="Times New Roman" w:hAnsi="Calibri" w:cs="Calibri"/>
                <w:sz w:val="20"/>
                <w:szCs w:val="20"/>
                <w:lang w:eastAsia="hr-HR"/>
              </w:rPr>
              <w:lastRenderedPageBreak/>
              <w:t>revizija je dopuštena odlukom Vrhovnog suda RH od 28. 11. 2023.</w:t>
            </w:r>
          </w:p>
        </w:tc>
        <w:tc>
          <w:tcPr>
            <w:tcW w:w="1605" w:type="dxa"/>
            <w:tcBorders>
              <w:top w:val="single" w:sz="4" w:space="0" w:color="auto"/>
              <w:bottom w:val="single" w:sz="4" w:space="0" w:color="auto"/>
            </w:tcBorders>
            <w:shd w:val="clear" w:color="auto" w:fill="FFFFFF"/>
            <w:vAlign w:val="center"/>
          </w:tcPr>
          <w:p w:rsidR="009F760B" w:rsidRPr="009F760B" w:rsidRDefault="009F760B" w:rsidP="009F760B">
            <w:pPr>
              <w:rPr>
                <w:rFonts w:ascii="Calibri" w:eastAsia="Times New Roman" w:hAnsi="Calibri" w:cs="Calibri"/>
                <w:sz w:val="20"/>
                <w:szCs w:val="20"/>
                <w:lang w:eastAsia="hr-HR"/>
              </w:rPr>
            </w:pPr>
            <w:r w:rsidRPr="009F760B">
              <w:rPr>
                <w:rFonts w:ascii="Calibri" w:eastAsia="Times New Roman" w:hAnsi="Calibri" w:cs="Calibri"/>
                <w:sz w:val="20"/>
                <w:szCs w:val="20"/>
                <w:lang w:eastAsia="hr-HR"/>
              </w:rPr>
              <w:lastRenderedPageBreak/>
              <w:t>MAĐARIĆ &amp; LUI - odvjetničko društvo d.o.o.</w:t>
            </w:r>
          </w:p>
        </w:tc>
      </w:tr>
      <w:tr w:rsidR="009F760B" w:rsidRPr="009F760B" w:rsidTr="009F760B">
        <w:trPr>
          <w:trHeight w:val="329"/>
        </w:trPr>
        <w:tc>
          <w:tcPr>
            <w:tcW w:w="471" w:type="dxa"/>
            <w:shd w:val="clear" w:color="auto" w:fill="FFFFFF"/>
            <w:vAlign w:val="center"/>
          </w:tcPr>
          <w:p w:rsidR="009F760B" w:rsidRPr="009F760B" w:rsidRDefault="009F760B" w:rsidP="009F760B">
            <w:pPr>
              <w:numPr>
                <w:ilvl w:val="0"/>
                <w:numId w:val="7"/>
              </w:numPr>
              <w:spacing w:after="160" w:line="259" w:lineRule="auto"/>
              <w:rPr>
                <w:rFonts w:ascii="Calibri" w:eastAsia="Times New Roman" w:hAnsi="Calibri" w:cs="Calibri"/>
                <w:sz w:val="20"/>
                <w:szCs w:val="20"/>
                <w:lang w:eastAsia="hr-HR"/>
              </w:rPr>
            </w:pPr>
          </w:p>
        </w:tc>
        <w:tc>
          <w:tcPr>
            <w:tcW w:w="1499" w:type="dxa"/>
            <w:shd w:val="clear" w:color="auto" w:fill="FFFFFF"/>
            <w:vAlign w:val="center"/>
          </w:tcPr>
          <w:p w:rsidR="009F760B" w:rsidRPr="009F760B" w:rsidRDefault="009F760B" w:rsidP="009F760B">
            <w:pPr>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Zvonimir Bešenski</w:t>
            </w:r>
          </w:p>
        </w:tc>
        <w:tc>
          <w:tcPr>
            <w:tcW w:w="1752" w:type="dxa"/>
            <w:shd w:val="clear" w:color="auto" w:fill="FFFFFF"/>
            <w:vAlign w:val="center"/>
          </w:tcPr>
          <w:p w:rsidR="009F760B" w:rsidRPr="009F760B" w:rsidRDefault="009F760B" w:rsidP="009F760B">
            <w:pPr>
              <w:rPr>
                <w:rFonts w:ascii="Calibri" w:eastAsia="Calibri" w:hAnsi="Calibri" w:cs="Calibri"/>
              </w:rPr>
            </w:pPr>
            <w:r w:rsidRPr="009F760B">
              <w:rPr>
                <w:rFonts w:ascii="Calibri" w:eastAsia="Times New Roman" w:hAnsi="Calibri" w:cs="Calibri"/>
                <w:sz w:val="20"/>
                <w:szCs w:val="20"/>
                <w:lang w:eastAsia="hr-HR"/>
              </w:rPr>
              <w:t>60.000 kn/</w:t>
            </w:r>
            <w:r w:rsidRPr="009F760B">
              <w:rPr>
                <w:rFonts w:ascii="Calibri" w:eastAsia="Calibri" w:hAnsi="Calibri" w:cs="Calibri"/>
              </w:rPr>
              <w:t xml:space="preserve"> </w:t>
            </w:r>
          </w:p>
          <w:p w:rsidR="009F760B" w:rsidRPr="009F760B" w:rsidRDefault="009F760B" w:rsidP="009F760B">
            <w:pPr>
              <w:rPr>
                <w:rFonts w:ascii="Calibri" w:eastAsia="Times New Roman" w:hAnsi="Calibri" w:cs="Calibri"/>
                <w:sz w:val="20"/>
                <w:szCs w:val="20"/>
                <w:lang w:eastAsia="hr-HR"/>
              </w:rPr>
            </w:pPr>
            <w:r w:rsidRPr="009F760B">
              <w:rPr>
                <w:rFonts w:ascii="Calibri" w:eastAsia="Calibri" w:hAnsi="Calibri" w:cs="Calibri"/>
              </w:rPr>
              <w:t>7.</w:t>
            </w:r>
            <w:r w:rsidRPr="009F760B">
              <w:rPr>
                <w:rFonts w:ascii="Calibri" w:eastAsia="Times New Roman" w:hAnsi="Calibri" w:cs="Calibri"/>
                <w:sz w:val="20"/>
                <w:szCs w:val="20"/>
                <w:lang w:eastAsia="hr-HR"/>
              </w:rPr>
              <w:t>963,37 EUR</w:t>
            </w:r>
          </w:p>
        </w:tc>
        <w:tc>
          <w:tcPr>
            <w:tcW w:w="4163" w:type="dxa"/>
            <w:shd w:val="clear" w:color="auto" w:fill="FFFFFF"/>
            <w:vAlign w:val="center"/>
          </w:tcPr>
          <w:p w:rsidR="009F760B" w:rsidRPr="009F760B" w:rsidRDefault="009F760B" w:rsidP="009F760B">
            <w:pPr>
              <w:numPr>
                <w:ilvl w:val="0"/>
                <w:numId w:val="9"/>
              </w:numPr>
              <w:spacing w:after="160" w:line="259" w:lineRule="auto"/>
              <w:contextualSpacing/>
              <w:jc w:val="both"/>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naknade štete – ozljeda na radu 2017. (motorist)</w:t>
            </w:r>
          </w:p>
          <w:p w:rsidR="009F760B" w:rsidRPr="009F760B" w:rsidRDefault="009F760B" w:rsidP="009F760B">
            <w:pPr>
              <w:numPr>
                <w:ilvl w:val="0"/>
                <w:numId w:val="9"/>
              </w:numPr>
              <w:spacing w:after="160" w:line="259" w:lineRule="auto"/>
              <w:contextualSpacing/>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nalaz i mišljenje prometnog vještaka 24.8.2022.</w:t>
            </w:r>
          </w:p>
          <w:p w:rsidR="009F760B" w:rsidRPr="009F760B" w:rsidRDefault="009F760B" w:rsidP="009F760B">
            <w:pPr>
              <w:numPr>
                <w:ilvl w:val="0"/>
                <w:numId w:val="9"/>
              </w:numPr>
              <w:spacing w:after="160" w:line="259" w:lineRule="auto"/>
              <w:contextualSpacing/>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ročišta-11.1.2023., 24.10.2023.</w:t>
            </w:r>
          </w:p>
          <w:p w:rsidR="009F760B" w:rsidRPr="009F760B" w:rsidRDefault="009F760B" w:rsidP="009F760B">
            <w:pPr>
              <w:numPr>
                <w:ilvl w:val="0"/>
                <w:numId w:val="9"/>
              </w:numPr>
              <w:spacing w:after="160" w:line="259" w:lineRule="auto"/>
              <w:contextualSpacing/>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 xml:space="preserve">provedeno medicinsko vještačenje </w:t>
            </w:r>
          </w:p>
          <w:p w:rsidR="009F760B" w:rsidRPr="009F760B" w:rsidRDefault="009F760B" w:rsidP="009F760B">
            <w:pPr>
              <w:numPr>
                <w:ilvl w:val="0"/>
                <w:numId w:val="9"/>
              </w:numPr>
              <w:spacing w:after="160" w:line="259" w:lineRule="auto"/>
              <w:contextualSpacing/>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ročište za objavu odluke: 21.12.2023.-ODGOĐENO</w:t>
            </w:r>
          </w:p>
        </w:tc>
        <w:tc>
          <w:tcPr>
            <w:tcW w:w="1605" w:type="dxa"/>
            <w:shd w:val="clear" w:color="auto" w:fill="FFFFFF"/>
            <w:vAlign w:val="center"/>
          </w:tcPr>
          <w:p w:rsidR="009F760B" w:rsidRPr="009F760B" w:rsidRDefault="009F760B" w:rsidP="009F760B">
            <w:pPr>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ODVJETNIČKO DRUŠTVO RUŽDJAK I PARTNERI d.o.o.</w:t>
            </w:r>
          </w:p>
        </w:tc>
      </w:tr>
      <w:tr w:rsidR="009F760B" w:rsidRPr="009F760B" w:rsidTr="009F760B">
        <w:trPr>
          <w:trHeight w:val="329"/>
        </w:trPr>
        <w:tc>
          <w:tcPr>
            <w:tcW w:w="471" w:type="dxa"/>
            <w:shd w:val="clear" w:color="auto" w:fill="FFFFFF"/>
            <w:vAlign w:val="center"/>
          </w:tcPr>
          <w:p w:rsidR="009F760B" w:rsidRPr="009F760B" w:rsidRDefault="009F760B" w:rsidP="009F760B">
            <w:pPr>
              <w:numPr>
                <w:ilvl w:val="0"/>
                <w:numId w:val="7"/>
              </w:numPr>
              <w:spacing w:after="160" w:line="259" w:lineRule="auto"/>
              <w:rPr>
                <w:rFonts w:ascii="Calibri" w:eastAsia="Times New Roman" w:hAnsi="Calibri" w:cs="Calibri"/>
                <w:sz w:val="20"/>
                <w:szCs w:val="20"/>
                <w:lang w:eastAsia="hr-HR"/>
              </w:rPr>
            </w:pPr>
          </w:p>
        </w:tc>
        <w:tc>
          <w:tcPr>
            <w:tcW w:w="1499" w:type="dxa"/>
            <w:shd w:val="clear" w:color="auto" w:fill="FFFFFF"/>
            <w:vAlign w:val="center"/>
          </w:tcPr>
          <w:p w:rsidR="009F760B" w:rsidRPr="009F760B" w:rsidRDefault="009F760B" w:rsidP="009F760B">
            <w:pPr>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Ivan Kovačević</w:t>
            </w:r>
          </w:p>
        </w:tc>
        <w:tc>
          <w:tcPr>
            <w:tcW w:w="1752" w:type="dxa"/>
            <w:shd w:val="clear" w:color="auto" w:fill="FFFFFF"/>
            <w:vAlign w:val="center"/>
          </w:tcPr>
          <w:p w:rsidR="009F760B" w:rsidRPr="009F760B" w:rsidRDefault="009F760B" w:rsidP="009F760B">
            <w:pPr>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87.775,27 kn / 11.649,78 EUR</w:t>
            </w:r>
          </w:p>
        </w:tc>
        <w:tc>
          <w:tcPr>
            <w:tcW w:w="4163" w:type="dxa"/>
            <w:shd w:val="clear" w:color="auto" w:fill="FFFFFF"/>
            <w:vAlign w:val="center"/>
          </w:tcPr>
          <w:p w:rsidR="009F760B" w:rsidRPr="009F760B" w:rsidRDefault="009F760B" w:rsidP="009F760B">
            <w:pPr>
              <w:numPr>
                <w:ilvl w:val="0"/>
                <w:numId w:val="10"/>
              </w:numPr>
              <w:spacing w:after="160" w:line="259" w:lineRule="auto"/>
              <w:contextualSpacing/>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naknada štete – razlika plaće vozača HMP i SP</w:t>
            </w:r>
          </w:p>
          <w:p w:rsidR="009F760B" w:rsidRPr="009F760B" w:rsidRDefault="009F760B" w:rsidP="009F760B">
            <w:pPr>
              <w:numPr>
                <w:ilvl w:val="0"/>
                <w:numId w:val="10"/>
              </w:numPr>
              <w:spacing w:after="160" w:line="259" w:lineRule="auto"/>
              <w:contextualSpacing/>
              <w:jc w:val="both"/>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 xml:space="preserve">22. 12. 2022.-I.st.presuda u korist tužitelja (na ime razlike plaće i naknade plaće naloženo isplatiti 87.775,27 kn / 11.649,78 EUR + </w:t>
            </w:r>
            <w:r w:rsidRPr="009F760B">
              <w:rPr>
                <w:rFonts w:ascii="Calibri" w:eastAsia="Calibri" w:hAnsi="Calibri" w:cs="Calibri"/>
              </w:rPr>
              <w:t xml:space="preserve">parnični trošak: </w:t>
            </w:r>
            <w:r w:rsidRPr="009F760B">
              <w:rPr>
                <w:rFonts w:ascii="Calibri" w:eastAsia="Times New Roman" w:hAnsi="Calibri" w:cs="Calibri"/>
                <w:sz w:val="20"/>
                <w:szCs w:val="20"/>
                <w:lang w:eastAsia="hr-HR"/>
              </w:rPr>
              <w:t>33.437,50 kn/4.437,92 EUR)</w:t>
            </w:r>
          </w:p>
          <w:p w:rsidR="009F760B" w:rsidRPr="009F760B" w:rsidRDefault="009F760B" w:rsidP="009F760B">
            <w:pPr>
              <w:numPr>
                <w:ilvl w:val="0"/>
                <w:numId w:val="10"/>
              </w:numPr>
              <w:spacing w:after="160" w:line="259" w:lineRule="auto"/>
              <w:contextualSpacing/>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29.12.2023. uložena žalba</w:t>
            </w:r>
          </w:p>
        </w:tc>
        <w:tc>
          <w:tcPr>
            <w:tcW w:w="1605" w:type="dxa"/>
            <w:shd w:val="clear" w:color="auto" w:fill="FFFFFF"/>
            <w:vAlign w:val="center"/>
          </w:tcPr>
          <w:p w:rsidR="009F760B" w:rsidRPr="009F760B" w:rsidRDefault="009F760B" w:rsidP="009F760B">
            <w:pPr>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ODVJETNIČKO DRUŠTVO RUŽDJAK I PARTNERI d.o.o.</w:t>
            </w:r>
          </w:p>
        </w:tc>
      </w:tr>
      <w:tr w:rsidR="009F760B" w:rsidRPr="009F760B" w:rsidTr="009F760B">
        <w:trPr>
          <w:trHeight w:val="1332"/>
        </w:trPr>
        <w:tc>
          <w:tcPr>
            <w:tcW w:w="471" w:type="dxa"/>
            <w:shd w:val="clear" w:color="auto" w:fill="FFFFFF"/>
            <w:vAlign w:val="center"/>
          </w:tcPr>
          <w:p w:rsidR="009F760B" w:rsidRPr="009F760B" w:rsidRDefault="009F760B" w:rsidP="009F760B">
            <w:pPr>
              <w:numPr>
                <w:ilvl w:val="0"/>
                <w:numId w:val="7"/>
              </w:numPr>
              <w:spacing w:after="160" w:line="259" w:lineRule="auto"/>
              <w:rPr>
                <w:rFonts w:ascii="Calibri" w:eastAsia="Times New Roman" w:hAnsi="Calibri" w:cs="Calibri"/>
                <w:sz w:val="20"/>
                <w:szCs w:val="20"/>
                <w:lang w:eastAsia="hr-HR"/>
              </w:rPr>
            </w:pPr>
          </w:p>
        </w:tc>
        <w:tc>
          <w:tcPr>
            <w:tcW w:w="1499" w:type="dxa"/>
            <w:shd w:val="clear" w:color="auto" w:fill="FFFFFF"/>
            <w:vAlign w:val="center"/>
          </w:tcPr>
          <w:p w:rsidR="009F760B" w:rsidRPr="009F760B" w:rsidRDefault="009F760B" w:rsidP="009F760B">
            <w:pPr>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Mateo Stjepić</w:t>
            </w:r>
          </w:p>
        </w:tc>
        <w:tc>
          <w:tcPr>
            <w:tcW w:w="1752" w:type="dxa"/>
            <w:shd w:val="clear" w:color="auto" w:fill="FFFFFF"/>
            <w:vAlign w:val="center"/>
          </w:tcPr>
          <w:p w:rsidR="009F760B" w:rsidRPr="009F760B" w:rsidRDefault="009F760B" w:rsidP="009F760B">
            <w:pPr>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22.000 kn/</w:t>
            </w:r>
          </w:p>
          <w:p w:rsidR="009F760B" w:rsidRPr="009F760B" w:rsidRDefault="009F760B" w:rsidP="009F760B">
            <w:pPr>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2.919,90 EUR</w:t>
            </w:r>
          </w:p>
        </w:tc>
        <w:tc>
          <w:tcPr>
            <w:tcW w:w="4163" w:type="dxa"/>
            <w:shd w:val="clear" w:color="auto" w:fill="FFFFFF"/>
            <w:vAlign w:val="center"/>
          </w:tcPr>
          <w:p w:rsidR="009F760B" w:rsidRPr="009F760B" w:rsidRDefault="009F760B" w:rsidP="009F760B">
            <w:pPr>
              <w:numPr>
                <w:ilvl w:val="0"/>
                <w:numId w:val="11"/>
              </w:numPr>
              <w:spacing w:after="160" w:line="259" w:lineRule="auto"/>
              <w:contextualSpacing/>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naknada štete – ozljeda na radu 2019.</w:t>
            </w:r>
          </w:p>
          <w:p w:rsidR="009F760B" w:rsidRPr="009F760B" w:rsidRDefault="009F760B" w:rsidP="009F760B">
            <w:pPr>
              <w:numPr>
                <w:ilvl w:val="0"/>
                <w:numId w:val="11"/>
              </w:numPr>
              <w:spacing w:after="160" w:line="259" w:lineRule="auto"/>
              <w:contextualSpacing/>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pripremno ročište 18.10.2023.-ODGOĐENO</w:t>
            </w:r>
          </w:p>
        </w:tc>
        <w:tc>
          <w:tcPr>
            <w:tcW w:w="1605" w:type="dxa"/>
            <w:shd w:val="clear" w:color="auto" w:fill="FFFFFF"/>
            <w:vAlign w:val="center"/>
          </w:tcPr>
          <w:p w:rsidR="009F760B" w:rsidRPr="009F760B" w:rsidRDefault="009F760B" w:rsidP="009F760B">
            <w:pPr>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samostalno</w:t>
            </w:r>
          </w:p>
        </w:tc>
      </w:tr>
      <w:tr w:rsidR="009F760B" w:rsidRPr="009F760B" w:rsidTr="009F760B">
        <w:trPr>
          <w:trHeight w:val="329"/>
        </w:trPr>
        <w:tc>
          <w:tcPr>
            <w:tcW w:w="471" w:type="dxa"/>
            <w:shd w:val="clear" w:color="auto" w:fill="FFFFFF"/>
            <w:vAlign w:val="center"/>
          </w:tcPr>
          <w:p w:rsidR="009F760B" w:rsidRPr="009F760B" w:rsidRDefault="009F760B" w:rsidP="009F760B">
            <w:pPr>
              <w:numPr>
                <w:ilvl w:val="0"/>
                <w:numId w:val="7"/>
              </w:numPr>
              <w:spacing w:after="160" w:line="259" w:lineRule="auto"/>
              <w:rPr>
                <w:rFonts w:ascii="Calibri" w:eastAsia="Times New Roman" w:hAnsi="Calibri" w:cs="Calibri"/>
                <w:sz w:val="20"/>
                <w:szCs w:val="20"/>
                <w:lang w:eastAsia="hr-HR"/>
              </w:rPr>
            </w:pPr>
          </w:p>
        </w:tc>
        <w:tc>
          <w:tcPr>
            <w:tcW w:w="1499" w:type="dxa"/>
            <w:shd w:val="clear" w:color="auto" w:fill="FFFFFF"/>
            <w:vAlign w:val="center"/>
          </w:tcPr>
          <w:p w:rsidR="009F760B" w:rsidRPr="009F760B" w:rsidRDefault="009F760B" w:rsidP="009F760B">
            <w:pPr>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Željko Lončarić</w:t>
            </w:r>
          </w:p>
        </w:tc>
        <w:tc>
          <w:tcPr>
            <w:tcW w:w="1752" w:type="dxa"/>
            <w:shd w:val="clear" w:color="auto" w:fill="FFFFFF"/>
            <w:vAlign w:val="center"/>
          </w:tcPr>
          <w:p w:rsidR="009F760B" w:rsidRPr="009F760B" w:rsidRDefault="009F760B" w:rsidP="009F760B">
            <w:pPr>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16.500,00 kn/</w:t>
            </w:r>
          </w:p>
          <w:p w:rsidR="009F760B" w:rsidRPr="009F760B" w:rsidRDefault="009F760B" w:rsidP="009F760B">
            <w:pPr>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2.189,93 EUR</w:t>
            </w:r>
          </w:p>
        </w:tc>
        <w:tc>
          <w:tcPr>
            <w:tcW w:w="4163" w:type="dxa"/>
            <w:shd w:val="clear" w:color="auto" w:fill="FFFFFF"/>
            <w:vAlign w:val="center"/>
          </w:tcPr>
          <w:p w:rsidR="009F760B" w:rsidRPr="009F760B" w:rsidRDefault="009F760B" w:rsidP="009F760B">
            <w:pPr>
              <w:numPr>
                <w:ilvl w:val="0"/>
                <w:numId w:val="11"/>
              </w:numPr>
              <w:spacing w:after="160" w:line="259" w:lineRule="auto"/>
              <w:contextualSpacing/>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naknada štete – ozljeda na radu 2019.</w:t>
            </w:r>
          </w:p>
          <w:p w:rsidR="009F760B" w:rsidRPr="009F760B" w:rsidRDefault="009F760B" w:rsidP="009F760B">
            <w:pPr>
              <w:numPr>
                <w:ilvl w:val="0"/>
                <w:numId w:val="8"/>
              </w:numPr>
              <w:spacing w:after="160" w:line="259" w:lineRule="auto"/>
              <w:contextualSpacing/>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istaknut prigovor nenadležnosti; Općinski građanski sud oglasio se stvarno nenadležnim.</w:t>
            </w:r>
          </w:p>
          <w:p w:rsidR="009F760B" w:rsidRPr="009F760B" w:rsidRDefault="009F760B" w:rsidP="009F760B">
            <w:pPr>
              <w:numPr>
                <w:ilvl w:val="0"/>
                <w:numId w:val="8"/>
              </w:numPr>
              <w:spacing w:after="160" w:line="259" w:lineRule="auto"/>
              <w:contextualSpacing/>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 xml:space="preserve">po pravomoćnosti rješenja spis će se dostaviti Općinskom radnom sudu </w:t>
            </w:r>
          </w:p>
        </w:tc>
        <w:tc>
          <w:tcPr>
            <w:tcW w:w="1605" w:type="dxa"/>
            <w:shd w:val="clear" w:color="auto" w:fill="FFFFFF"/>
            <w:vAlign w:val="center"/>
          </w:tcPr>
          <w:p w:rsidR="009F760B" w:rsidRPr="009F760B" w:rsidRDefault="009F760B" w:rsidP="009F760B">
            <w:pPr>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samostalno</w:t>
            </w:r>
          </w:p>
        </w:tc>
      </w:tr>
      <w:tr w:rsidR="009F760B" w:rsidRPr="009F760B" w:rsidTr="005E58FC">
        <w:trPr>
          <w:trHeight w:val="329"/>
        </w:trPr>
        <w:tc>
          <w:tcPr>
            <w:tcW w:w="471" w:type="dxa"/>
            <w:shd w:val="clear" w:color="auto" w:fill="auto"/>
            <w:vAlign w:val="center"/>
          </w:tcPr>
          <w:p w:rsidR="009F760B" w:rsidRPr="009F760B" w:rsidRDefault="009F760B" w:rsidP="009F760B">
            <w:pPr>
              <w:numPr>
                <w:ilvl w:val="0"/>
                <w:numId w:val="7"/>
              </w:numPr>
              <w:spacing w:after="160" w:line="259" w:lineRule="auto"/>
              <w:rPr>
                <w:rFonts w:ascii="Calibri" w:eastAsia="Times New Roman" w:hAnsi="Calibri" w:cs="Calibri"/>
                <w:sz w:val="20"/>
                <w:szCs w:val="20"/>
                <w:lang w:eastAsia="hr-HR"/>
              </w:rPr>
            </w:pPr>
          </w:p>
        </w:tc>
        <w:tc>
          <w:tcPr>
            <w:tcW w:w="1499" w:type="dxa"/>
            <w:shd w:val="clear" w:color="auto" w:fill="auto"/>
            <w:vAlign w:val="center"/>
          </w:tcPr>
          <w:p w:rsidR="009F760B" w:rsidRPr="009F760B" w:rsidRDefault="009F760B" w:rsidP="009F760B">
            <w:pPr>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Vlasta Jasprica Hrelec</w:t>
            </w:r>
          </w:p>
        </w:tc>
        <w:tc>
          <w:tcPr>
            <w:tcW w:w="1752" w:type="dxa"/>
            <w:shd w:val="clear" w:color="auto" w:fill="auto"/>
            <w:vAlign w:val="center"/>
          </w:tcPr>
          <w:p w:rsidR="009F760B" w:rsidRPr="009F760B" w:rsidRDefault="009F760B" w:rsidP="009F760B">
            <w:pPr>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Nije specificiran</w:t>
            </w:r>
          </w:p>
        </w:tc>
        <w:tc>
          <w:tcPr>
            <w:tcW w:w="4163" w:type="dxa"/>
            <w:shd w:val="clear" w:color="auto" w:fill="auto"/>
            <w:vAlign w:val="center"/>
          </w:tcPr>
          <w:p w:rsidR="009F760B" w:rsidRPr="009F760B" w:rsidRDefault="009F760B" w:rsidP="009F760B">
            <w:pPr>
              <w:numPr>
                <w:ilvl w:val="0"/>
                <w:numId w:val="8"/>
              </w:numPr>
              <w:spacing w:after="160" w:line="259" w:lineRule="auto"/>
              <w:contextualSpacing/>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naknada štete; I.st. presudom odbijen tužbeni zahtjev za iznos od 247.240 kn i 442.907 kn. II.st. presudom preinačena- Zavodu naložena isplata 196.847 kn. Revizijom ukinuta II.st. presuda i vraćeno na ponovno suđenje.</w:t>
            </w:r>
          </w:p>
          <w:p w:rsidR="009F760B" w:rsidRPr="009F760B" w:rsidRDefault="009F760B" w:rsidP="009F760B">
            <w:pPr>
              <w:ind w:left="360"/>
              <w:contextualSpacing/>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 xml:space="preserve">II.st. presuda Županijskog suda u Zagrebu (po ukidnoj odluci Vrhovnog suda RH) preinačava I.st. presuda u točci II. u dijelu u kojem je tužiteljica odbijena s tužbenim zahtjevom za iznos od 196.847,46 kn s pripadajućim kamatama na način da joj se dosuđuje navedeni iznos. </w:t>
            </w:r>
            <w:r w:rsidRPr="009F760B">
              <w:rPr>
                <w:rFonts w:ascii="Calibri" w:eastAsia="Times New Roman" w:hAnsi="Calibri" w:cs="Calibri"/>
                <w:b/>
                <w:sz w:val="20"/>
                <w:szCs w:val="20"/>
                <w:lang w:eastAsia="hr-HR"/>
              </w:rPr>
              <w:t>Presuda je istovjetna prethodnoj presudi Županijskog suda,</w:t>
            </w:r>
            <w:r w:rsidRPr="009F760B">
              <w:rPr>
                <w:rFonts w:ascii="Calibri" w:eastAsia="Times New Roman" w:hAnsi="Calibri" w:cs="Calibri"/>
                <w:sz w:val="20"/>
                <w:szCs w:val="20"/>
                <w:lang w:eastAsia="hr-HR"/>
              </w:rPr>
              <w:t xml:space="preserve"> uz  detaljnije obrazloženje dosuđenog iznosa naknade štete, a što je bila uputa Vrhovnog suda RH. Županijski sud je iznio detaljnije očitovanje razloga zašto je naknadu štete procijenio upravo u iznosu 8 prosječnih bruto plaća (bruto plaća </w:t>
            </w:r>
            <w:r w:rsidRPr="009F760B">
              <w:rPr>
                <w:rFonts w:ascii="Calibri" w:eastAsia="Times New Roman" w:hAnsi="Calibri" w:cs="Calibri"/>
                <w:sz w:val="20"/>
                <w:szCs w:val="20"/>
                <w:lang w:eastAsia="hr-HR"/>
              </w:rPr>
              <w:lastRenderedPageBreak/>
              <w:t>tužiteljice za mjesec travanj 2006. bila je u iznosu od 23.754,45 kn, svibanj 2006. u iznosu od 25.827,98 kn i lipanj 2006. od 24.235,37 kn ili prosječno 24.605,93 te da je tužiteljica kod tuženika ostvarila izrazito dugi radni staž od 37 godina, odnosno da je kod istog provela gotovo maksimalni radni staž te navršenih 65 godina života, što predstavlja starosnu dob koja ne omogućava daljnje redovito zapošljavanje, uz uvažavanje činjenice da nije imala obvezu uzdržavanja drugih osoba).</w:t>
            </w:r>
          </w:p>
          <w:p w:rsidR="009F760B" w:rsidRPr="009F760B" w:rsidRDefault="009F760B" w:rsidP="009F760B">
            <w:pPr>
              <w:ind w:left="360"/>
              <w:contextualSpacing/>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 xml:space="preserve"> U preostalim dijelovima kojima je pobijana prvostupanjska i drugostupanjska presuda (tumačenje Sporazuma) VSRH se nije posebno osvrtao, već je citirao zaključke prvostupanjskog i drugostupanjskog suda, ne dovodeći ih u pitanje.</w:t>
            </w:r>
          </w:p>
          <w:p w:rsidR="009F760B" w:rsidRPr="009F760B" w:rsidRDefault="009F760B" w:rsidP="009F760B">
            <w:pPr>
              <w:ind w:left="360"/>
              <w:contextualSpacing/>
              <w:rPr>
                <w:rFonts w:ascii="Calibri" w:eastAsia="Times New Roman" w:hAnsi="Calibri" w:cs="Calibri"/>
                <w:sz w:val="20"/>
                <w:szCs w:val="20"/>
                <w:lang w:eastAsia="hr-HR"/>
              </w:rPr>
            </w:pPr>
            <w:r w:rsidRPr="009F760B">
              <w:rPr>
                <w:rFonts w:ascii="Calibri" w:eastAsia="Times New Roman" w:hAnsi="Calibri" w:cs="Calibri"/>
                <w:b/>
                <w:sz w:val="20"/>
                <w:szCs w:val="20"/>
                <w:lang w:eastAsia="hr-HR"/>
              </w:rPr>
              <w:t xml:space="preserve"> Uputa odvjetnika:</w:t>
            </w:r>
            <w:r w:rsidRPr="009F760B">
              <w:rPr>
                <w:rFonts w:ascii="Calibri" w:eastAsia="Times New Roman" w:hAnsi="Calibri" w:cs="Calibri"/>
                <w:sz w:val="20"/>
                <w:szCs w:val="20"/>
                <w:lang w:eastAsia="hr-HR"/>
              </w:rPr>
              <w:t xml:space="preserve"> S obzirom da su se, od datuma podnošenja revizije (2017.) zakonske odredbe o revizije značajno promijenile te da u trenutku stupanja na snagu zadnjih zakonskim izmjena koje se odnose na reviziju (19.7.2022.) nije donesena drugostupanjska presuda (odluka VSRH kojom je ukinuta važeća drugostupanjska odluka je donesena 4.2022.) na ovaj predmet se primjenjuju odredbe ZPP-a o reviziji iz zadnje izmjene i dopune zakona o parničnom postupku, koje su znatno restriktivnije od prethodnih odredbi. Zbog navedenoga, jedini eventualni temelj za podnošenje prijedloga za dopuštenje revizije bio bi u nejedinstvenosti sudske prakse Vrhovnog suda RH u odnosu na obračun naknade štete. Naime, drugostupanjski sud je istu obračunao sukladno prosječnoj visini bruto plaće, što je u suprotnosti sa stavom VSRH izraženog u presudi Revr 725/16-2 od 13.9.2016., ali prije i nakon toga je VSRH zauzimao upravo obrnuti stav (tako u svojim odlukama Revr-1610/11 od 20. lipnja 2012., Revr-1390/10 od 30. prosinca 2010., Revr-1010/13 od 16. travnja 2014, Rev-2556/18-2 od 10. lipnja 2020. i Rev 2486/2018-2 od 9. rujna 2020.), odnosno da se naknada štete kod sudskog raskida ugovora o radu računa prema prosječno isplaćenoj bruto plaći. </w:t>
            </w:r>
          </w:p>
          <w:p w:rsidR="009F760B" w:rsidRPr="009F760B" w:rsidRDefault="009F760B" w:rsidP="009F760B">
            <w:pPr>
              <w:ind w:left="360"/>
              <w:contextualSpacing/>
              <w:rPr>
                <w:rFonts w:ascii="Calibri" w:eastAsia="Times New Roman" w:hAnsi="Calibri" w:cs="Calibri"/>
                <w:sz w:val="20"/>
                <w:szCs w:val="20"/>
                <w:lang w:eastAsia="hr-HR"/>
              </w:rPr>
            </w:pPr>
            <w:r w:rsidRPr="009F760B">
              <w:rPr>
                <w:rFonts w:ascii="Calibri" w:eastAsia="Times New Roman" w:hAnsi="Calibri" w:cs="Calibri"/>
                <w:sz w:val="20"/>
                <w:szCs w:val="20"/>
                <w:lang w:eastAsia="hr-HR"/>
              </w:rPr>
              <w:lastRenderedPageBreak/>
              <w:t xml:space="preserve"> S obzirom da je značajno veći broj puta VSRH zauzeo stav da se naknada štete isplaćuje sukladno prosječnoj visini bruto plaće te da je praksa u tom smjeru i recentnija, to nije izgledno da bi revizija u tom smislu u konačnici bila dopuštena, odnosno ako bi ju dopustili, da bi ovaj puta zauzeli suprotan stav.</w:t>
            </w:r>
          </w:p>
          <w:p w:rsidR="009F760B" w:rsidRPr="009F760B" w:rsidRDefault="009F760B" w:rsidP="009F760B">
            <w:pPr>
              <w:ind w:left="360"/>
              <w:contextualSpacing/>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U slučaju obračuna naknade plaće prema neto iznosu u visini 8 plaća, a prema podacima iz spisa, ista bi iznosila 109.884,64 kn, dakle razlika u odnosu na dosuđeno naknadu je u 86.962,82 kn.</w:t>
            </w:r>
          </w:p>
          <w:p w:rsidR="009F760B" w:rsidRPr="009F760B" w:rsidRDefault="009F760B" w:rsidP="009F760B">
            <w:pPr>
              <w:ind w:left="360"/>
              <w:contextualSpacing/>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 xml:space="preserve"> Slijedom navedenoga, ne savjetuju podnošenje prijedloga za dopuštenje revizije jer uspjeh nije izgledan. </w:t>
            </w:r>
            <w:r w:rsidRPr="009F760B">
              <w:rPr>
                <w:rFonts w:ascii="Calibri" w:eastAsia="Times New Roman" w:hAnsi="Calibri" w:cs="Calibri"/>
                <w:b/>
                <w:sz w:val="20"/>
                <w:szCs w:val="20"/>
                <w:lang w:eastAsia="hr-HR"/>
              </w:rPr>
              <w:t>Nije podnesen prijedlog za reviziju.</w:t>
            </w:r>
          </w:p>
        </w:tc>
        <w:tc>
          <w:tcPr>
            <w:tcW w:w="1605" w:type="dxa"/>
            <w:shd w:val="clear" w:color="auto" w:fill="auto"/>
            <w:vAlign w:val="center"/>
          </w:tcPr>
          <w:p w:rsidR="009F760B" w:rsidRPr="009F760B" w:rsidRDefault="009F760B" w:rsidP="009F760B">
            <w:pPr>
              <w:rPr>
                <w:rFonts w:ascii="Calibri" w:eastAsia="Times New Roman" w:hAnsi="Calibri" w:cs="Calibri"/>
                <w:sz w:val="20"/>
                <w:szCs w:val="20"/>
                <w:lang w:eastAsia="hr-HR"/>
              </w:rPr>
            </w:pPr>
            <w:r w:rsidRPr="009F760B">
              <w:rPr>
                <w:rFonts w:ascii="Calibri" w:eastAsia="Times New Roman" w:hAnsi="Calibri" w:cs="Calibri"/>
                <w:sz w:val="20"/>
                <w:szCs w:val="20"/>
                <w:lang w:eastAsia="hr-HR"/>
              </w:rPr>
              <w:lastRenderedPageBreak/>
              <w:t>MAĐARIĆ &amp; LUI - odvjetničko društvo d.o.o.</w:t>
            </w:r>
          </w:p>
        </w:tc>
      </w:tr>
      <w:tr w:rsidR="009F760B" w:rsidRPr="009F760B" w:rsidTr="005E58FC">
        <w:trPr>
          <w:trHeight w:val="329"/>
        </w:trPr>
        <w:tc>
          <w:tcPr>
            <w:tcW w:w="471" w:type="dxa"/>
            <w:vAlign w:val="center"/>
          </w:tcPr>
          <w:p w:rsidR="009F760B" w:rsidRPr="009F760B" w:rsidRDefault="009F760B" w:rsidP="009F760B">
            <w:pPr>
              <w:numPr>
                <w:ilvl w:val="0"/>
                <w:numId w:val="7"/>
              </w:numPr>
              <w:spacing w:after="160" w:line="259" w:lineRule="auto"/>
              <w:rPr>
                <w:rFonts w:ascii="Calibri" w:eastAsia="Times New Roman" w:hAnsi="Calibri" w:cs="Calibri"/>
                <w:sz w:val="20"/>
                <w:szCs w:val="20"/>
                <w:lang w:eastAsia="hr-HR"/>
              </w:rPr>
            </w:pPr>
          </w:p>
        </w:tc>
        <w:tc>
          <w:tcPr>
            <w:tcW w:w="1499" w:type="dxa"/>
            <w:vAlign w:val="center"/>
          </w:tcPr>
          <w:p w:rsidR="009F760B" w:rsidRPr="009F760B" w:rsidRDefault="009F760B" w:rsidP="009F760B">
            <w:pPr>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Robert Lacković</w:t>
            </w:r>
          </w:p>
        </w:tc>
        <w:tc>
          <w:tcPr>
            <w:tcW w:w="1752" w:type="dxa"/>
            <w:vAlign w:val="center"/>
          </w:tcPr>
          <w:p w:rsidR="009F760B" w:rsidRPr="009F760B" w:rsidRDefault="009F760B" w:rsidP="009F760B">
            <w:pPr>
              <w:jc w:val="both"/>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32.000,00 kn/</w:t>
            </w:r>
          </w:p>
          <w:p w:rsidR="009F760B" w:rsidRPr="009F760B" w:rsidRDefault="009F760B" w:rsidP="009F760B">
            <w:pPr>
              <w:jc w:val="both"/>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4.247,13 EUR</w:t>
            </w:r>
          </w:p>
        </w:tc>
        <w:tc>
          <w:tcPr>
            <w:tcW w:w="4163" w:type="dxa"/>
            <w:vAlign w:val="center"/>
          </w:tcPr>
          <w:p w:rsidR="009F760B" w:rsidRPr="009F760B" w:rsidRDefault="009F760B" w:rsidP="009F760B">
            <w:pPr>
              <w:numPr>
                <w:ilvl w:val="0"/>
                <w:numId w:val="8"/>
              </w:numPr>
              <w:spacing w:after="160" w:line="259" w:lineRule="auto"/>
              <w:contextualSpacing/>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naknada štete – ozljeda na radu 2019.</w:t>
            </w:r>
          </w:p>
          <w:p w:rsidR="009F760B" w:rsidRPr="009F760B" w:rsidRDefault="009F760B" w:rsidP="009F760B">
            <w:pPr>
              <w:numPr>
                <w:ilvl w:val="0"/>
                <w:numId w:val="8"/>
              </w:numPr>
              <w:spacing w:after="160" w:line="259" w:lineRule="auto"/>
              <w:contextualSpacing/>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podnesen odgovor na tužbu</w:t>
            </w:r>
          </w:p>
          <w:p w:rsidR="009F760B" w:rsidRPr="009F760B" w:rsidRDefault="009F760B" w:rsidP="009F760B">
            <w:pPr>
              <w:numPr>
                <w:ilvl w:val="0"/>
                <w:numId w:val="8"/>
              </w:numPr>
              <w:spacing w:after="160" w:line="259" w:lineRule="auto"/>
              <w:contextualSpacing/>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30.10.2022.-podnosimo prigovor CROATIA OSIGURANJU-u Izjavi osiguranika o štetnom događaju  bilo je navedeno da se ozljeda desila prije početka rada, osiguranje odbilo zahtjev za NŠ među ostalim i zato jer tužitelj nije prijavio ozljedu na radu (a jest)</w:t>
            </w:r>
          </w:p>
          <w:p w:rsidR="009F760B" w:rsidRPr="009F760B" w:rsidRDefault="009F760B" w:rsidP="009F760B">
            <w:pPr>
              <w:numPr>
                <w:ilvl w:val="0"/>
                <w:numId w:val="8"/>
              </w:numPr>
              <w:spacing w:after="160" w:line="259" w:lineRule="auto"/>
              <w:contextualSpacing/>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CROATIA OSIGURANJE uvažilo prigovor u cijelosti + odmjerilo pravičnu novčanu naknadu neimovinske i</w:t>
            </w:r>
          </w:p>
          <w:p w:rsidR="009F760B" w:rsidRPr="009F760B" w:rsidRDefault="009F760B" w:rsidP="009F760B">
            <w:pPr>
              <w:ind w:left="360"/>
              <w:contextualSpacing/>
              <w:jc w:val="both"/>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 xml:space="preserve">imovinske štete zbog povrede prava osobnosti na tjelesno i duševno zdravlje u iznosu 18.000,00 kn/ 2.389,01 EUR </w:t>
            </w:r>
          </w:p>
          <w:p w:rsidR="009F760B" w:rsidRPr="009F760B" w:rsidRDefault="009F760B" w:rsidP="009F760B">
            <w:pPr>
              <w:numPr>
                <w:ilvl w:val="0"/>
                <w:numId w:val="12"/>
              </w:numPr>
              <w:spacing w:after="160" w:line="259" w:lineRule="auto"/>
              <w:contextualSpacing/>
              <w:rPr>
                <w:rFonts w:ascii="Calibri" w:eastAsia="Times New Roman" w:hAnsi="Calibri" w:cs="Calibri"/>
                <w:b/>
                <w:sz w:val="20"/>
                <w:szCs w:val="20"/>
                <w:lang w:eastAsia="hr-HR"/>
              </w:rPr>
            </w:pPr>
            <w:r w:rsidRPr="009F760B">
              <w:rPr>
                <w:rFonts w:ascii="Calibri" w:eastAsia="Times New Roman" w:hAnsi="Calibri" w:cs="Calibri"/>
                <w:b/>
                <w:sz w:val="20"/>
                <w:szCs w:val="20"/>
                <w:lang w:eastAsia="hr-HR"/>
              </w:rPr>
              <w:t>7.12.2022. tužitelj povukao tužbu</w:t>
            </w:r>
          </w:p>
        </w:tc>
        <w:tc>
          <w:tcPr>
            <w:tcW w:w="1605" w:type="dxa"/>
            <w:vAlign w:val="center"/>
          </w:tcPr>
          <w:p w:rsidR="009F760B" w:rsidRPr="009F760B" w:rsidRDefault="009F760B" w:rsidP="009F760B">
            <w:pPr>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samostalno</w:t>
            </w:r>
          </w:p>
        </w:tc>
      </w:tr>
      <w:tr w:rsidR="009F760B" w:rsidRPr="009F760B" w:rsidTr="005E58FC">
        <w:trPr>
          <w:trHeight w:val="329"/>
        </w:trPr>
        <w:tc>
          <w:tcPr>
            <w:tcW w:w="471" w:type="dxa"/>
            <w:vAlign w:val="center"/>
          </w:tcPr>
          <w:p w:rsidR="009F760B" w:rsidRPr="009F760B" w:rsidRDefault="009F760B" w:rsidP="009F760B">
            <w:pPr>
              <w:numPr>
                <w:ilvl w:val="0"/>
                <w:numId w:val="7"/>
              </w:numPr>
              <w:spacing w:after="160" w:line="259" w:lineRule="auto"/>
              <w:rPr>
                <w:rFonts w:ascii="Calibri" w:eastAsia="Times New Roman" w:hAnsi="Calibri" w:cs="Calibri"/>
                <w:sz w:val="20"/>
                <w:szCs w:val="20"/>
                <w:lang w:eastAsia="hr-HR"/>
              </w:rPr>
            </w:pPr>
          </w:p>
        </w:tc>
        <w:tc>
          <w:tcPr>
            <w:tcW w:w="1499" w:type="dxa"/>
            <w:vAlign w:val="center"/>
          </w:tcPr>
          <w:p w:rsidR="009F760B" w:rsidRPr="009F760B" w:rsidRDefault="009F760B" w:rsidP="009F760B">
            <w:pPr>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Iverka Brigljević Kniewald</w:t>
            </w:r>
          </w:p>
        </w:tc>
        <w:tc>
          <w:tcPr>
            <w:tcW w:w="1752" w:type="dxa"/>
            <w:vAlign w:val="center"/>
          </w:tcPr>
          <w:p w:rsidR="009F760B" w:rsidRPr="009F760B" w:rsidRDefault="009F760B" w:rsidP="009F760B">
            <w:pPr>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199.560,00 kn/</w:t>
            </w:r>
          </w:p>
          <w:p w:rsidR="009F760B" w:rsidRPr="009F760B" w:rsidRDefault="009F760B" w:rsidP="009F760B">
            <w:pPr>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26.486,16 EUR</w:t>
            </w:r>
          </w:p>
        </w:tc>
        <w:tc>
          <w:tcPr>
            <w:tcW w:w="4163" w:type="dxa"/>
            <w:vAlign w:val="center"/>
          </w:tcPr>
          <w:p w:rsidR="009F760B" w:rsidRPr="009F760B" w:rsidRDefault="009F760B" w:rsidP="009F760B">
            <w:pPr>
              <w:numPr>
                <w:ilvl w:val="0"/>
                <w:numId w:val="8"/>
              </w:numPr>
              <w:spacing w:after="160" w:line="259" w:lineRule="auto"/>
              <w:contextualSpacing/>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Ministarstvo zdravstva donijelo odluku o povratu ukupnih sredstava koje je Zavod trebao podmiriti na ime prekida specijalizacije tuženika i raskida ugovora o dodjeli bespovratnih sredstava.</w:t>
            </w:r>
          </w:p>
          <w:p w:rsidR="009F760B" w:rsidRPr="009F760B" w:rsidRDefault="009F760B" w:rsidP="009F760B">
            <w:pPr>
              <w:numPr>
                <w:ilvl w:val="0"/>
                <w:numId w:val="8"/>
              </w:numPr>
              <w:spacing w:after="160" w:line="259" w:lineRule="auto"/>
              <w:contextualSpacing/>
              <w:rPr>
                <w:rFonts w:ascii="Calibri" w:eastAsia="Times New Roman" w:hAnsi="Calibri" w:cs="Calibri"/>
                <w:b/>
                <w:sz w:val="20"/>
                <w:szCs w:val="20"/>
                <w:lang w:eastAsia="hr-HR"/>
              </w:rPr>
            </w:pPr>
            <w:r w:rsidRPr="009F760B">
              <w:rPr>
                <w:rFonts w:ascii="Calibri" w:eastAsia="Times New Roman" w:hAnsi="Calibri" w:cs="Calibri"/>
                <w:b/>
                <w:sz w:val="20"/>
                <w:szCs w:val="20"/>
                <w:lang w:eastAsia="hr-HR"/>
              </w:rPr>
              <w:t xml:space="preserve">12.9.2023., povukli tužbu </w:t>
            </w:r>
          </w:p>
        </w:tc>
        <w:tc>
          <w:tcPr>
            <w:tcW w:w="1605" w:type="dxa"/>
            <w:vAlign w:val="center"/>
          </w:tcPr>
          <w:p w:rsidR="009F760B" w:rsidRPr="009F760B" w:rsidRDefault="009F760B" w:rsidP="009F760B">
            <w:pPr>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MAĐARIĆ &amp; LUI - odvjetničko društvo d.o.o</w:t>
            </w:r>
          </w:p>
        </w:tc>
      </w:tr>
      <w:tr w:rsidR="009F760B" w:rsidRPr="009F760B" w:rsidTr="009F760B">
        <w:trPr>
          <w:trHeight w:val="329"/>
        </w:trPr>
        <w:tc>
          <w:tcPr>
            <w:tcW w:w="471" w:type="dxa"/>
            <w:shd w:val="clear" w:color="auto" w:fill="auto"/>
            <w:vAlign w:val="center"/>
          </w:tcPr>
          <w:p w:rsidR="009F760B" w:rsidRPr="009F760B" w:rsidRDefault="009F760B" w:rsidP="009F760B">
            <w:pPr>
              <w:numPr>
                <w:ilvl w:val="0"/>
                <w:numId w:val="7"/>
              </w:numPr>
              <w:spacing w:after="160" w:line="259" w:lineRule="auto"/>
              <w:rPr>
                <w:rFonts w:ascii="Calibri" w:eastAsia="Times New Roman" w:hAnsi="Calibri" w:cs="Calibri"/>
                <w:sz w:val="20"/>
                <w:szCs w:val="20"/>
                <w:lang w:eastAsia="hr-HR"/>
              </w:rPr>
            </w:pPr>
          </w:p>
        </w:tc>
        <w:tc>
          <w:tcPr>
            <w:tcW w:w="1499" w:type="dxa"/>
            <w:shd w:val="clear" w:color="auto" w:fill="auto"/>
            <w:vAlign w:val="center"/>
          </w:tcPr>
          <w:p w:rsidR="009F760B" w:rsidRPr="009F760B" w:rsidRDefault="009F760B" w:rsidP="009F760B">
            <w:pPr>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6 tužbi</w:t>
            </w:r>
          </w:p>
        </w:tc>
        <w:tc>
          <w:tcPr>
            <w:tcW w:w="1752" w:type="dxa"/>
            <w:shd w:val="clear" w:color="auto" w:fill="auto"/>
            <w:vAlign w:val="center"/>
          </w:tcPr>
          <w:p w:rsidR="009F760B" w:rsidRPr="009F760B" w:rsidRDefault="009F760B" w:rsidP="009F760B">
            <w:pPr>
              <w:rPr>
                <w:rFonts w:ascii="Calibri" w:eastAsia="Times New Roman" w:hAnsi="Calibri" w:cs="Calibri"/>
                <w:sz w:val="20"/>
                <w:szCs w:val="20"/>
                <w:lang w:eastAsia="hr-HR"/>
              </w:rPr>
            </w:pPr>
          </w:p>
        </w:tc>
        <w:tc>
          <w:tcPr>
            <w:tcW w:w="4163" w:type="dxa"/>
            <w:shd w:val="clear" w:color="auto" w:fill="auto"/>
            <w:vAlign w:val="center"/>
          </w:tcPr>
          <w:p w:rsidR="009F760B" w:rsidRPr="009F760B" w:rsidRDefault="009F760B" w:rsidP="009F760B">
            <w:pPr>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VOZAČI U TIMU SP TRAŽE KOEFICIJENT MED.TEHNIČARA</w:t>
            </w:r>
          </w:p>
        </w:tc>
        <w:tc>
          <w:tcPr>
            <w:tcW w:w="1605" w:type="dxa"/>
            <w:shd w:val="clear" w:color="auto" w:fill="auto"/>
            <w:vAlign w:val="center"/>
          </w:tcPr>
          <w:p w:rsidR="009F760B" w:rsidRPr="009F760B" w:rsidRDefault="009F760B" w:rsidP="009F760B">
            <w:pPr>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 xml:space="preserve">samostalno (5), </w:t>
            </w:r>
            <w:r w:rsidRPr="009F760B">
              <w:rPr>
                <w:rFonts w:ascii="Calibri" w:eastAsia="Calibri" w:hAnsi="Calibri" w:cs="Calibri"/>
              </w:rPr>
              <w:t xml:space="preserve"> </w:t>
            </w:r>
            <w:r w:rsidRPr="009F760B">
              <w:rPr>
                <w:rFonts w:ascii="Calibri" w:eastAsia="Times New Roman" w:hAnsi="Calibri" w:cs="Calibri"/>
                <w:sz w:val="20"/>
                <w:szCs w:val="20"/>
                <w:lang w:eastAsia="hr-HR"/>
              </w:rPr>
              <w:t>ODVJETNIČKO DRUŠTVO RUŽDJAK I PARTNERI d.o.o. (1)</w:t>
            </w:r>
          </w:p>
        </w:tc>
      </w:tr>
      <w:tr w:rsidR="009F760B" w:rsidRPr="009F760B" w:rsidTr="009F760B">
        <w:trPr>
          <w:trHeight w:val="281"/>
        </w:trPr>
        <w:tc>
          <w:tcPr>
            <w:tcW w:w="471" w:type="dxa"/>
            <w:shd w:val="clear" w:color="auto" w:fill="auto"/>
            <w:vAlign w:val="center"/>
          </w:tcPr>
          <w:p w:rsidR="009F760B" w:rsidRPr="009F760B" w:rsidRDefault="009F760B" w:rsidP="009F760B">
            <w:pPr>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11.</w:t>
            </w:r>
          </w:p>
        </w:tc>
        <w:tc>
          <w:tcPr>
            <w:tcW w:w="1499" w:type="dxa"/>
            <w:shd w:val="clear" w:color="auto" w:fill="auto"/>
            <w:vAlign w:val="center"/>
          </w:tcPr>
          <w:p w:rsidR="009F760B" w:rsidRPr="009F760B" w:rsidRDefault="009F760B" w:rsidP="009F760B">
            <w:pPr>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381 tužba</w:t>
            </w:r>
          </w:p>
        </w:tc>
        <w:tc>
          <w:tcPr>
            <w:tcW w:w="1752" w:type="dxa"/>
            <w:shd w:val="clear" w:color="auto" w:fill="auto"/>
            <w:vAlign w:val="center"/>
          </w:tcPr>
          <w:p w:rsidR="009F760B" w:rsidRPr="009F760B" w:rsidRDefault="009F760B" w:rsidP="009F760B">
            <w:pPr>
              <w:rPr>
                <w:rFonts w:ascii="Calibri" w:eastAsia="Times New Roman" w:hAnsi="Calibri" w:cs="Calibri"/>
                <w:sz w:val="20"/>
                <w:szCs w:val="20"/>
                <w:lang w:eastAsia="hr-HR"/>
              </w:rPr>
            </w:pPr>
          </w:p>
        </w:tc>
        <w:tc>
          <w:tcPr>
            <w:tcW w:w="4163" w:type="dxa"/>
            <w:shd w:val="clear" w:color="auto" w:fill="auto"/>
            <w:vAlign w:val="center"/>
          </w:tcPr>
          <w:p w:rsidR="009F760B" w:rsidRPr="009F760B" w:rsidRDefault="009F760B" w:rsidP="009F760B">
            <w:pPr>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PREKOVREMENI SATI</w:t>
            </w:r>
          </w:p>
          <w:p w:rsidR="009F760B" w:rsidRPr="009F760B" w:rsidRDefault="009F760B" w:rsidP="009F760B">
            <w:pPr>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pravomoćno: 294 predmeta</w:t>
            </w:r>
          </w:p>
        </w:tc>
        <w:tc>
          <w:tcPr>
            <w:tcW w:w="1605" w:type="dxa"/>
            <w:shd w:val="clear" w:color="auto" w:fill="auto"/>
            <w:vAlign w:val="center"/>
          </w:tcPr>
          <w:p w:rsidR="009F760B" w:rsidRPr="009F760B" w:rsidRDefault="009F760B" w:rsidP="009F760B">
            <w:pPr>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samostalno</w:t>
            </w:r>
          </w:p>
        </w:tc>
      </w:tr>
      <w:tr w:rsidR="009F760B" w:rsidRPr="009F760B" w:rsidTr="009F760B">
        <w:trPr>
          <w:trHeight w:val="329"/>
        </w:trPr>
        <w:tc>
          <w:tcPr>
            <w:tcW w:w="471" w:type="dxa"/>
            <w:shd w:val="clear" w:color="auto" w:fill="auto"/>
            <w:vAlign w:val="center"/>
          </w:tcPr>
          <w:p w:rsidR="009F760B" w:rsidRPr="009F760B" w:rsidRDefault="009F760B" w:rsidP="009F760B">
            <w:pPr>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12.</w:t>
            </w:r>
          </w:p>
        </w:tc>
        <w:tc>
          <w:tcPr>
            <w:tcW w:w="1499" w:type="dxa"/>
            <w:shd w:val="clear" w:color="auto" w:fill="auto"/>
            <w:vAlign w:val="center"/>
          </w:tcPr>
          <w:p w:rsidR="009F760B" w:rsidRPr="009F760B" w:rsidRDefault="009F760B" w:rsidP="009F760B">
            <w:pPr>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256 tužbi</w:t>
            </w:r>
          </w:p>
        </w:tc>
        <w:tc>
          <w:tcPr>
            <w:tcW w:w="1752" w:type="dxa"/>
            <w:shd w:val="clear" w:color="auto" w:fill="auto"/>
            <w:vAlign w:val="center"/>
          </w:tcPr>
          <w:p w:rsidR="009F760B" w:rsidRPr="009F760B" w:rsidRDefault="009F760B" w:rsidP="009F760B">
            <w:pPr>
              <w:rPr>
                <w:rFonts w:ascii="Calibri" w:eastAsia="Times New Roman" w:hAnsi="Calibri" w:cs="Calibri"/>
                <w:sz w:val="20"/>
                <w:szCs w:val="20"/>
                <w:lang w:eastAsia="hr-HR"/>
              </w:rPr>
            </w:pPr>
          </w:p>
        </w:tc>
        <w:tc>
          <w:tcPr>
            <w:tcW w:w="4163" w:type="dxa"/>
            <w:shd w:val="clear" w:color="auto" w:fill="auto"/>
            <w:vAlign w:val="center"/>
          </w:tcPr>
          <w:p w:rsidR="009F760B" w:rsidRPr="009F760B" w:rsidRDefault="009F760B" w:rsidP="009F760B">
            <w:pPr>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OSNOVICA IZ 2016.</w:t>
            </w:r>
          </w:p>
          <w:p w:rsidR="009F760B" w:rsidRPr="009F760B" w:rsidRDefault="009F760B" w:rsidP="009F760B">
            <w:pPr>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pravomoćno: 191 predmet</w:t>
            </w:r>
          </w:p>
        </w:tc>
        <w:tc>
          <w:tcPr>
            <w:tcW w:w="1605" w:type="dxa"/>
            <w:shd w:val="clear" w:color="auto" w:fill="auto"/>
            <w:vAlign w:val="center"/>
          </w:tcPr>
          <w:p w:rsidR="009F760B" w:rsidRPr="009F760B" w:rsidRDefault="009F760B" w:rsidP="009F760B">
            <w:pPr>
              <w:rPr>
                <w:rFonts w:ascii="Calibri" w:eastAsia="Times New Roman" w:hAnsi="Calibri" w:cs="Calibri"/>
                <w:sz w:val="20"/>
                <w:szCs w:val="20"/>
                <w:lang w:eastAsia="hr-HR"/>
              </w:rPr>
            </w:pPr>
            <w:r w:rsidRPr="009F760B">
              <w:rPr>
                <w:rFonts w:ascii="Calibri" w:eastAsia="Times New Roman" w:hAnsi="Calibri" w:cs="Calibri"/>
                <w:sz w:val="20"/>
                <w:szCs w:val="20"/>
                <w:lang w:eastAsia="hr-HR"/>
              </w:rPr>
              <w:t>samostalno</w:t>
            </w:r>
          </w:p>
        </w:tc>
      </w:tr>
    </w:tbl>
    <w:p w:rsidR="001568DC" w:rsidRDefault="001568DC" w:rsidP="0008370C"/>
    <w:p w:rsidR="007A7988" w:rsidRDefault="007A7988">
      <w:pPr>
        <w:spacing w:after="160" w:line="259" w:lineRule="auto"/>
        <w:rPr>
          <w:rFonts w:asciiTheme="majorHAnsi" w:eastAsiaTheme="majorEastAsia" w:hAnsiTheme="majorHAnsi" w:cstheme="majorBidi"/>
          <w:color w:val="2E74B5" w:themeColor="accent1" w:themeShade="BF"/>
          <w:sz w:val="32"/>
          <w:szCs w:val="32"/>
        </w:rPr>
      </w:pPr>
      <w:r>
        <w:br w:type="page"/>
      </w:r>
    </w:p>
    <w:p w:rsidR="009C4703" w:rsidRDefault="003D1561" w:rsidP="0021451B">
      <w:pPr>
        <w:pStyle w:val="Naslov1"/>
        <w:numPr>
          <w:ilvl w:val="0"/>
          <w:numId w:val="6"/>
        </w:numPr>
      </w:pPr>
      <w:bookmarkStart w:id="8" w:name="_Toc157592719"/>
      <w:r>
        <w:lastRenderedPageBreak/>
        <w:t xml:space="preserve">Bilješke uz Izvještaj o promjenama u vrijednosti i obujmu imovine (obrazac </w:t>
      </w:r>
      <w:r w:rsidR="001568DC">
        <w:t>P-VRIO</w:t>
      </w:r>
      <w:r>
        <w:t>)</w:t>
      </w:r>
      <w:bookmarkEnd w:id="8"/>
    </w:p>
    <w:p w:rsidR="001568DC" w:rsidRDefault="004F097D" w:rsidP="00EE1607">
      <w:pPr>
        <w:jc w:val="both"/>
      </w:pPr>
      <w:r w:rsidRPr="004F097D">
        <w:t xml:space="preserve">Povećanje vrijednosti imovine u iznosu od </w:t>
      </w:r>
      <w:r>
        <w:t>44.951,01</w:t>
      </w:r>
      <w:r w:rsidRPr="004F097D">
        <w:t xml:space="preserve"> rezultat je donacije zaštitne opreme za sprečavanje širenja epidemij</w:t>
      </w:r>
      <w:r>
        <w:t>e</w:t>
      </w:r>
      <w:r w:rsidRPr="004F097D">
        <w:t xml:space="preserve"> bolesti COVID-19 uzrokovan</w:t>
      </w:r>
      <w:r>
        <w:t>e</w:t>
      </w:r>
      <w:r w:rsidRPr="004F097D">
        <w:t xml:space="preserve"> virusom SARS-CoV-2</w:t>
      </w:r>
      <w:r>
        <w:t xml:space="preserve"> donirane </w:t>
      </w:r>
      <w:r w:rsidRPr="004F097D">
        <w:t>od strane Gradskog ureda za socijalnu zaštitu, zdravstvo, branitelje i osobe s invaliditetom</w:t>
      </w:r>
      <w:r>
        <w:t xml:space="preserve"> u iznosu 7.093,59 eur, odnosno raznih artikala </w:t>
      </w:r>
      <w:r w:rsidR="006B7C77">
        <w:t xml:space="preserve">doniranih </w:t>
      </w:r>
      <w:r>
        <w:t xml:space="preserve">od Crvenog križa i MUP- </w:t>
      </w:r>
      <w:r w:rsidRPr="004F097D">
        <w:t>ravnateljstva civilne zaštite</w:t>
      </w:r>
      <w:r>
        <w:t xml:space="preserve"> ukupne vrijednosti </w:t>
      </w:r>
      <w:r w:rsidRPr="004F097D">
        <w:t>37</w:t>
      </w:r>
      <w:r>
        <w:t>.</w:t>
      </w:r>
      <w:r w:rsidRPr="004F097D">
        <w:t>857,42</w:t>
      </w:r>
      <w:r>
        <w:t xml:space="preserve"> eur. Smanjenja obujma imovine koje bi </w:t>
      </w:r>
      <w:r w:rsidRPr="004F097D">
        <w:t>se odnosi</w:t>
      </w:r>
      <w:r>
        <w:t>lo</w:t>
      </w:r>
      <w:r w:rsidRPr="004F097D">
        <w:t xml:space="preserve"> na smanjenje </w:t>
      </w:r>
      <w:r>
        <w:t>vrijednosti rashodovane imovine, u 2023. nije bilo.</w:t>
      </w:r>
    </w:p>
    <w:p w:rsidR="007A7988" w:rsidRDefault="007A7988" w:rsidP="00EE1607">
      <w:pPr>
        <w:jc w:val="both"/>
      </w:pPr>
    </w:p>
    <w:p w:rsidR="001568DC" w:rsidRPr="001568DC" w:rsidRDefault="001568DC" w:rsidP="0021451B">
      <w:pPr>
        <w:pStyle w:val="Naslov1"/>
        <w:numPr>
          <w:ilvl w:val="0"/>
          <w:numId w:val="6"/>
        </w:numPr>
      </w:pPr>
      <w:bookmarkStart w:id="9" w:name="_Toc157592720"/>
      <w:r w:rsidRPr="001568DC">
        <w:t>Bilješke uz izvještaj o rashodima prema funkcijskoj klasifikaciji (obrazac RAS-funkcijski)</w:t>
      </w:r>
      <w:bookmarkEnd w:id="9"/>
    </w:p>
    <w:p w:rsidR="009C4703" w:rsidRDefault="00FF7D3E" w:rsidP="00EE1607">
      <w:pPr>
        <w:jc w:val="both"/>
      </w:pPr>
      <w:r>
        <w:t>R</w:t>
      </w:r>
      <w:r w:rsidRPr="00FF7D3E">
        <w:t xml:space="preserve">ashodi poslovanja i rashodi za nabavu nefinancijske imovine </w:t>
      </w:r>
      <w:r>
        <w:t xml:space="preserve">Zavoda svrstani su </w:t>
      </w:r>
      <w:r w:rsidRPr="00FF7D3E">
        <w:t xml:space="preserve">na </w:t>
      </w:r>
      <w:r>
        <w:t>funkciju 07 – Zdravstvo,</w:t>
      </w:r>
      <w:r w:rsidR="00D4136F">
        <w:t xml:space="preserve"> tj.</w:t>
      </w:r>
      <w:r>
        <w:t xml:space="preserve"> točnije na 0722 </w:t>
      </w:r>
      <w:r w:rsidR="005A3A47" w:rsidRPr="005A3A47">
        <w:t>Specijalističke medicinske usluge</w:t>
      </w:r>
      <w:r w:rsidR="005A3A47">
        <w:t>.</w:t>
      </w:r>
    </w:p>
    <w:p w:rsidR="006442CD" w:rsidRDefault="006442CD" w:rsidP="00EE1607">
      <w:pPr>
        <w:jc w:val="both"/>
      </w:pPr>
    </w:p>
    <w:p w:rsidR="006442CD" w:rsidRDefault="006442CD" w:rsidP="00EE1607">
      <w:pPr>
        <w:jc w:val="both"/>
      </w:pPr>
    </w:p>
    <w:p w:rsidR="001919DA" w:rsidRDefault="001919DA" w:rsidP="0021451B">
      <w:pPr>
        <w:pStyle w:val="Naslov1"/>
        <w:numPr>
          <w:ilvl w:val="0"/>
          <w:numId w:val="6"/>
        </w:numPr>
      </w:pPr>
      <w:bookmarkStart w:id="10" w:name="_Toc157592721"/>
      <w:r w:rsidRPr="001919DA">
        <w:t>Bilješke uz Izvještaj o obvezama (obrazac OBVEZE)</w:t>
      </w:r>
      <w:bookmarkEnd w:id="10"/>
    </w:p>
    <w:p w:rsidR="005D1654" w:rsidRPr="006442CD" w:rsidRDefault="005D1654" w:rsidP="005D1654">
      <w:r w:rsidRPr="006442CD">
        <w:t>Na dan 31.12.202</w:t>
      </w:r>
      <w:r w:rsidR="0037513C" w:rsidRPr="006442CD">
        <w:t>3</w:t>
      </w:r>
      <w:r w:rsidRPr="006442CD">
        <w:t xml:space="preserve">. godine </w:t>
      </w:r>
      <w:r w:rsidR="0037513C" w:rsidRPr="006442CD">
        <w:t xml:space="preserve">zavod ima </w:t>
      </w:r>
      <w:r w:rsidR="006442CD" w:rsidRPr="006442CD">
        <w:t xml:space="preserve">sljedeće </w:t>
      </w:r>
      <w:r w:rsidR="0037513C" w:rsidRPr="006442CD">
        <w:t>dospjele obveze</w:t>
      </w:r>
      <w:r w:rsidR="006442CD" w:rsidRPr="006442CD">
        <w:t xml:space="preserve"> do 60 dana</w:t>
      </w:r>
      <w:r w:rsidR="007A7988">
        <w:t xml:space="preserve"> (TOP 10)</w:t>
      </w:r>
      <w:r w:rsidR="006442CD" w:rsidRPr="006442CD">
        <w:t>:</w:t>
      </w:r>
    </w:p>
    <w:tbl>
      <w:tblPr>
        <w:tblW w:w="7655" w:type="dxa"/>
        <w:tblLook w:val="04A0" w:firstRow="1" w:lastRow="0" w:firstColumn="1" w:lastColumn="0" w:noHBand="0" w:noVBand="1"/>
      </w:tblPr>
      <w:tblGrid>
        <w:gridCol w:w="528"/>
        <w:gridCol w:w="960"/>
        <w:gridCol w:w="3280"/>
        <w:gridCol w:w="1440"/>
        <w:gridCol w:w="1447"/>
      </w:tblGrid>
      <w:tr w:rsidR="006442CD" w:rsidRPr="006442CD" w:rsidTr="006442CD">
        <w:trPr>
          <w:trHeight w:val="300"/>
        </w:trPr>
        <w:tc>
          <w:tcPr>
            <w:tcW w:w="528" w:type="dxa"/>
            <w:tcBorders>
              <w:top w:val="nil"/>
              <w:left w:val="nil"/>
              <w:bottom w:val="nil"/>
              <w:right w:val="nil"/>
            </w:tcBorders>
            <w:shd w:val="clear" w:color="auto" w:fill="auto"/>
            <w:noWrap/>
            <w:vAlign w:val="bottom"/>
            <w:hideMark/>
          </w:tcPr>
          <w:p w:rsidR="006442CD" w:rsidRPr="006442CD" w:rsidRDefault="006442CD" w:rsidP="006442CD">
            <w:pPr>
              <w:rPr>
                <w:rFonts w:ascii="Calibri" w:eastAsia="Times New Roman" w:hAnsi="Calibri" w:cs="Calibri"/>
                <w:color w:val="000000"/>
                <w:lang w:eastAsia="hr-HR"/>
              </w:rPr>
            </w:pPr>
            <w:r w:rsidRPr="006442CD">
              <w:rPr>
                <w:rFonts w:ascii="Calibri" w:eastAsia="Times New Roman" w:hAnsi="Calibri" w:cs="Calibri"/>
                <w:color w:val="000000"/>
                <w:lang w:eastAsia="hr-HR"/>
              </w:rPr>
              <w:t>Rbr</w:t>
            </w:r>
          </w:p>
        </w:tc>
        <w:tc>
          <w:tcPr>
            <w:tcW w:w="960" w:type="dxa"/>
            <w:tcBorders>
              <w:top w:val="nil"/>
              <w:left w:val="nil"/>
              <w:bottom w:val="nil"/>
              <w:right w:val="nil"/>
            </w:tcBorders>
            <w:shd w:val="clear" w:color="auto" w:fill="auto"/>
            <w:noWrap/>
            <w:vAlign w:val="bottom"/>
            <w:hideMark/>
          </w:tcPr>
          <w:p w:rsidR="006442CD" w:rsidRPr="006442CD" w:rsidRDefault="006442CD" w:rsidP="006442CD">
            <w:pPr>
              <w:rPr>
                <w:rFonts w:ascii="Calibri" w:eastAsia="Times New Roman" w:hAnsi="Calibri" w:cs="Calibri"/>
                <w:color w:val="000000"/>
                <w:lang w:eastAsia="hr-HR"/>
              </w:rPr>
            </w:pPr>
            <w:r w:rsidRPr="006442CD">
              <w:rPr>
                <w:rFonts w:ascii="Calibri" w:eastAsia="Times New Roman" w:hAnsi="Calibri" w:cs="Calibri"/>
                <w:color w:val="000000"/>
                <w:lang w:eastAsia="hr-HR"/>
              </w:rPr>
              <w:t>Šifra</w:t>
            </w:r>
          </w:p>
        </w:tc>
        <w:tc>
          <w:tcPr>
            <w:tcW w:w="3280" w:type="dxa"/>
            <w:tcBorders>
              <w:top w:val="nil"/>
              <w:left w:val="nil"/>
              <w:bottom w:val="nil"/>
              <w:right w:val="nil"/>
            </w:tcBorders>
            <w:shd w:val="clear" w:color="auto" w:fill="auto"/>
            <w:noWrap/>
            <w:vAlign w:val="bottom"/>
            <w:hideMark/>
          </w:tcPr>
          <w:p w:rsidR="006442CD" w:rsidRPr="006442CD" w:rsidRDefault="006442CD" w:rsidP="006442CD">
            <w:pPr>
              <w:rPr>
                <w:rFonts w:ascii="Calibri" w:eastAsia="Times New Roman" w:hAnsi="Calibri" w:cs="Calibri"/>
                <w:color w:val="000000"/>
                <w:lang w:eastAsia="hr-HR"/>
              </w:rPr>
            </w:pPr>
            <w:r w:rsidRPr="006442CD">
              <w:rPr>
                <w:rFonts w:ascii="Calibri" w:eastAsia="Times New Roman" w:hAnsi="Calibri" w:cs="Calibri"/>
                <w:color w:val="000000"/>
                <w:lang w:eastAsia="hr-HR"/>
              </w:rPr>
              <w:t>Ime</w:t>
            </w:r>
          </w:p>
        </w:tc>
        <w:tc>
          <w:tcPr>
            <w:tcW w:w="1440" w:type="dxa"/>
            <w:tcBorders>
              <w:top w:val="nil"/>
              <w:left w:val="nil"/>
              <w:bottom w:val="nil"/>
              <w:right w:val="nil"/>
            </w:tcBorders>
            <w:shd w:val="clear" w:color="auto" w:fill="auto"/>
            <w:noWrap/>
            <w:vAlign w:val="bottom"/>
            <w:hideMark/>
          </w:tcPr>
          <w:p w:rsidR="006442CD" w:rsidRPr="006442CD" w:rsidRDefault="006442CD" w:rsidP="006442CD">
            <w:pPr>
              <w:rPr>
                <w:rFonts w:ascii="Calibri" w:eastAsia="Times New Roman" w:hAnsi="Calibri" w:cs="Calibri"/>
                <w:color w:val="000000"/>
                <w:lang w:eastAsia="hr-HR"/>
              </w:rPr>
            </w:pPr>
            <w:r w:rsidRPr="006442CD">
              <w:rPr>
                <w:rFonts w:ascii="Calibri" w:eastAsia="Times New Roman" w:hAnsi="Calibri" w:cs="Calibri"/>
                <w:color w:val="000000"/>
                <w:lang w:eastAsia="hr-HR"/>
              </w:rPr>
              <w:t>Nije dospjelo</w:t>
            </w:r>
          </w:p>
        </w:tc>
        <w:tc>
          <w:tcPr>
            <w:tcW w:w="1447" w:type="dxa"/>
            <w:tcBorders>
              <w:top w:val="nil"/>
              <w:left w:val="nil"/>
              <w:bottom w:val="nil"/>
              <w:right w:val="nil"/>
            </w:tcBorders>
            <w:shd w:val="clear" w:color="auto" w:fill="auto"/>
            <w:noWrap/>
            <w:vAlign w:val="bottom"/>
            <w:hideMark/>
          </w:tcPr>
          <w:p w:rsidR="006442CD" w:rsidRPr="006442CD" w:rsidRDefault="006442CD" w:rsidP="006442CD">
            <w:pPr>
              <w:rPr>
                <w:rFonts w:ascii="Calibri" w:eastAsia="Times New Roman" w:hAnsi="Calibri" w:cs="Calibri"/>
                <w:color w:val="000000"/>
                <w:lang w:eastAsia="hr-HR"/>
              </w:rPr>
            </w:pPr>
            <w:r w:rsidRPr="006442CD">
              <w:rPr>
                <w:rFonts w:ascii="Calibri" w:eastAsia="Times New Roman" w:hAnsi="Calibri" w:cs="Calibri"/>
                <w:color w:val="000000"/>
                <w:lang w:eastAsia="hr-HR"/>
              </w:rPr>
              <w:t>1-60 dana</w:t>
            </w:r>
          </w:p>
        </w:tc>
      </w:tr>
      <w:tr w:rsidR="006442CD" w:rsidRPr="006442CD" w:rsidTr="006442CD">
        <w:trPr>
          <w:trHeight w:val="300"/>
        </w:trPr>
        <w:tc>
          <w:tcPr>
            <w:tcW w:w="528" w:type="dxa"/>
            <w:tcBorders>
              <w:top w:val="nil"/>
              <w:left w:val="nil"/>
              <w:bottom w:val="nil"/>
              <w:right w:val="nil"/>
            </w:tcBorders>
            <w:shd w:val="clear" w:color="auto" w:fill="auto"/>
            <w:noWrap/>
            <w:vAlign w:val="bottom"/>
            <w:hideMark/>
          </w:tcPr>
          <w:p w:rsidR="006442CD" w:rsidRPr="006442CD" w:rsidRDefault="006442CD" w:rsidP="006442CD">
            <w:pPr>
              <w:jc w:val="right"/>
              <w:rPr>
                <w:rFonts w:ascii="Calibri" w:eastAsia="Times New Roman" w:hAnsi="Calibri" w:cs="Calibri"/>
                <w:color w:val="000000"/>
                <w:lang w:eastAsia="hr-HR"/>
              </w:rPr>
            </w:pPr>
            <w:r w:rsidRPr="006442CD">
              <w:rPr>
                <w:rFonts w:ascii="Calibri" w:eastAsia="Times New Roman" w:hAnsi="Calibri" w:cs="Calibri"/>
                <w:color w:val="000000"/>
                <w:lang w:eastAsia="hr-HR"/>
              </w:rPr>
              <w:t>1</w:t>
            </w:r>
          </w:p>
        </w:tc>
        <w:tc>
          <w:tcPr>
            <w:tcW w:w="960" w:type="dxa"/>
            <w:tcBorders>
              <w:top w:val="nil"/>
              <w:left w:val="nil"/>
              <w:bottom w:val="nil"/>
              <w:right w:val="nil"/>
            </w:tcBorders>
            <w:shd w:val="clear" w:color="auto" w:fill="auto"/>
            <w:noWrap/>
            <w:vAlign w:val="bottom"/>
            <w:hideMark/>
          </w:tcPr>
          <w:p w:rsidR="006442CD" w:rsidRPr="006442CD" w:rsidRDefault="006442CD" w:rsidP="006442CD">
            <w:pPr>
              <w:rPr>
                <w:rFonts w:ascii="Calibri" w:eastAsia="Times New Roman" w:hAnsi="Calibri" w:cs="Calibri"/>
                <w:color w:val="000000"/>
                <w:lang w:eastAsia="hr-HR"/>
              </w:rPr>
            </w:pPr>
            <w:r w:rsidRPr="006442CD">
              <w:rPr>
                <w:rFonts w:ascii="Calibri" w:eastAsia="Times New Roman" w:hAnsi="Calibri" w:cs="Calibri"/>
                <w:color w:val="000000"/>
                <w:lang w:eastAsia="hr-HR"/>
              </w:rPr>
              <w:t>0231</w:t>
            </w:r>
          </w:p>
        </w:tc>
        <w:tc>
          <w:tcPr>
            <w:tcW w:w="3280" w:type="dxa"/>
            <w:tcBorders>
              <w:top w:val="nil"/>
              <w:left w:val="nil"/>
              <w:bottom w:val="nil"/>
              <w:right w:val="nil"/>
            </w:tcBorders>
            <w:shd w:val="clear" w:color="auto" w:fill="auto"/>
            <w:noWrap/>
            <w:vAlign w:val="bottom"/>
            <w:hideMark/>
          </w:tcPr>
          <w:p w:rsidR="006442CD" w:rsidRPr="006442CD" w:rsidRDefault="006442CD" w:rsidP="006442CD">
            <w:pPr>
              <w:rPr>
                <w:rFonts w:ascii="Calibri" w:eastAsia="Times New Roman" w:hAnsi="Calibri" w:cs="Calibri"/>
                <w:color w:val="000000"/>
                <w:lang w:eastAsia="hr-HR"/>
              </w:rPr>
            </w:pPr>
            <w:r w:rsidRPr="006442CD">
              <w:rPr>
                <w:rFonts w:ascii="Calibri" w:eastAsia="Times New Roman" w:hAnsi="Calibri" w:cs="Calibri"/>
                <w:color w:val="000000"/>
                <w:lang w:eastAsia="hr-HR"/>
              </w:rPr>
              <w:t>STORM COMPUTERS</w:t>
            </w:r>
          </w:p>
        </w:tc>
        <w:tc>
          <w:tcPr>
            <w:tcW w:w="1440" w:type="dxa"/>
            <w:tcBorders>
              <w:top w:val="nil"/>
              <w:left w:val="nil"/>
              <w:bottom w:val="nil"/>
              <w:right w:val="nil"/>
            </w:tcBorders>
            <w:shd w:val="clear" w:color="auto" w:fill="auto"/>
            <w:noWrap/>
            <w:vAlign w:val="bottom"/>
            <w:hideMark/>
          </w:tcPr>
          <w:p w:rsidR="006442CD" w:rsidRPr="006442CD" w:rsidRDefault="006442CD" w:rsidP="006442CD">
            <w:pPr>
              <w:jc w:val="right"/>
              <w:rPr>
                <w:rFonts w:ascii="Calibri" w:eastAsia="Times New Roman" w:hAnsi="Calibri" w:cs="Calibri"/>
                <w:color w:val="000000"/>
                <w:lang w:eastAsia="hr-HR"/>
              </w:rPr>
            </w:pPr>
            <w:r w:rsidRPr="006442CD">
              <w:rPr>
                <w:rFonts w:ascii="Calibri" w:eastAsia="Times New Roman" w:hAnsi="Calibri" w:cs="Calibri"/>
                <w:color w:val="000000"/>
                <w:lang w:eastAsia="hr-HR"/>
              </w:rPr>
              <w:t>24.739,96</w:t>
            </w:r>
          </w:p>
        </w:tc>
        <w:tc>
          <w:tcPr>
            <w:tcW w:w="1447" w:type="dxa"/>
            <w:tcBorders>
              <w:top w:val="nil"/>
              <w:left w:val="nil"/>
              <w:bottom w:val="nil"/>
              <w:right w:val="nil"/>
            </w:tcBorders>
            <w:shd w:val="clear" w:color="auto" w:fill="auto"/>
            <w:noWrap/>
            <w:vAlign w:val="bottom"/>
            <w:hideMark/>
          </w:tcPr>
          <w:p w:rsidR="006442CD" w:rsidRPr="006442CD" w:rsidRDefault="006442CD" w:rsidP="006442CD">
            <w:pPr>
              <w:jc w:val="right"/>
              <w:rPr>
                <w:rFonts w:ascii="Calibri" w:eastAsia="Times New Roman" w:hAnsi="Calibri" w:cs="Calibri"/>
                <w:color w:val="000000"/>
                <w:lang w:eastAsia="hr-HR"/>
              </w:rPr>
            </w:pPr>
            <w:r w:rsidRPr="006442CD">
              <w:rPr>
                <w:rFonts w:ascii="Calibri" w:eastAsia="Times New Roman" w:hAnsi="Calibri" w:cs="Calibri"/>
                <w:color w:val="000000"/>
                <w:lang w:eastAsia="hr-HR"/>
              </w:rPr>
              <w:t>13.033,81</w:t>
            </w:r>
          </w:p>
        </w:tc>
      </w:tr>
      <w:tr w:rsidR="006442CD" w:rsidRPr="006442CD" w:rsidTr="006442CD">
        <w:trPr>
          <w:trHeight w:val="300"/>
        </w:trPr>
        <w:tc>
          <w:tcPr>
            <w:tcW w:w="528" w:type="dxa"/>
            <w:tcBorders>
              <w:top w:val="nil"/>
              <w:left w:val="nil"/>
              <w:bottom w:val="nil"/>
              <w:right w:val="nil"/>
            </w:tcBorders>
            <w:shd w:val="clear" w:color="auto" w:fill="auto"/>
            <w:noWrap/>
            <w:vAlign w:val="bottom"/>
            <w:hideMark/>
          </w:tcPr>
          <w:p w:rsidR="006442CD" w:rsidRPr="006442CD" w:rsidRDefault="006442CD" w:rsidP="006442CD">
            <w:pPr>
              <w:jc w:val="right"/>
              <w:rPr>
                <w:rFonts w:ascii="Calibri" w:eastAsia="Times New Roman" w:hAnsi="Calibri" w:cs="Calibri"/>
                <w:color w:val="000000"/>
                <w:lang w:eastAsia="hr-HR"/>
              </w:rPr>
            </w:pPr>
            <w:r w:rsidRPr="006442CD">
              <w:rPr>
                <w:rFonts w:ascii="Calibri" w:eastAsia="Times New Roman" w:hAnsi="Calibri" w:cs="Calibri"/>
                <w:color w:val="000000"/>
                <w:lang w:eastAsia="hr-HR"/>
              </w:rPr>
              <w:t>2</w:t>
            </w:r>
          </w:p>
        </w:tc>
        <w:tc>
          <w:tcPr>
            <w:tcW w:w="960" w:type="dxa"/>
            <w:tcBorders>
              <w:top w:val="nil"/>
              <w:left w:val="nil"/>
              <w:bottom w:val="nil"/>
              <w:right w:val="nil"/>
            </w:tcBorders>
            <w:shd w:val="clear" w:color="auto" w:fill="auto"/>
            <w:noWrap/>
            <w:vAlign w:val="bottom"/>
            <w:hideMark/>
          </w:tcPr>
          <w:p w:rsidR="006442CD" w:rsidRPr="006442CD" w:rsidRDefault="006442CD" w:rsidP="006442CD">
            <w:pPr>
              <w:rPr>
                <w:rFonts w:ascii="Calibri" w:eastAsia="Times New Roman" w:hAnsi="Calibri" w:cs="Calibri"/>
                <w:color w:val="000000"/>
                <w:lang w:eastAsia="hr-HR"/>
              </w:rPr>
            </w:pPr>
            <w:r w:rsidRPr="006442CD">
              <w:rPr>
                <w:rFonts w:ascii="Calibri" w:eastAsia="Times New Roman" w:hAnsi="Calibri" w:cs="Calibri"/>
                <w:color w:val="000000"/>
                <w:lang w:eastAsia="hr-HR"/>
              </w:rPr>
              <w:t>0838</w:t>
            </w:r>
          </w:p>
        </w:tc>
        <w:tc>
          <w:tcPr>
            <w:tcW w:w="3280" w:type="dxa"/>
            <w:tcBorders>
              <w:top w:val="nil"/>
              <w:left w:val="nil"/>
              <w:bottom w:val="nil"/>
              <w:right w:val="nil"/>
            </w:tcBorders>
            <w:shd w:val="clear" w:color="auto" w:fill="auto"/>
            <w:noWrap/>
            <w:vAlign w:val="bottom"/>
            <w:hideMark/>
          </w:tcPr>
          <w:p w:rsidR="006442CD" w:rsidRPr="006442CD" w:rsidRDefault="006442CD" w:rsidP="006442CD">
            <w:pPr>
              <w:rPr>
                <w:rFonts w:ascii="Calibri" w:eastAsia="Times New Roman" w:hAnsi="Calibri" w:cs="Calibri"/>
                <w:color w:val="000000"/>
                <w:lang w:eastAsia="hr-HR"/>
              </w:rPr>
            </w:pPr>
            <w:r w:rsidRPr="006442CD">
              <w:rPr>
                <w:rFonts w:ascii="Calibri" w:eastAsia="Times New Roman" w:hAnsi="Calibri" w:cs="Calibri"/>
                <w:color w:val="000000"/>
                <w:lang w:eastAsia="hr-HR"/>
              </w:rPr>
              <w:t>P &amp; F ZAŠTITA D.O.O.</w:t>
            </w:r>
          </w:p>
        </w:tc>
        <w:tc>
          <w:tcPr>
            <w:tcW w:w="1440" w:type="dxa"/>
            <w:tcBorders>
              <w:top w:val="nil"/>
              <w:left w:val="nil"/>
              <w:bottom w:val="nil"/>
              <w:right w:val="nil"/>
            </w:tcBorders>
            <w:shd w:val="clear" w:color="auto" w:fill="auto"/>
            <w:noWrap/>
            <w:vAlign w:val="bottom"/>
            <w:hideMark/>
          </w:tcPr>
          <w:p w:rsidR="006442CD" w:rsidRPr="006442CD" w:rsidRDefault="006442CD" w:rsidP="006442CD">
            <w:pPr>
              <w:jc w:val="right"/>
              <w:rPr>
                <w:rFonts w:ascii="Calibri" w:eastAsia="Times New Roman" w:hAnsi="Calibri" w:cs="Calibri"/>
                <w:color w:val="000000"/>
                <w:lang w:eastAsia="hr-HR"/>
              </w:rPr>
            </w:pPr>
            <w:r w:rsidRPr="006442CD">
              <w:rPr>
                <w:rFonts w:ascii="Calibri" w:eastAsia="Times New Roman" w:hAnsi="Calibri" w:cs="Calibri"/>
                <w:color w:val="000000"/>
                <w:lang w:eastAsia="hr-HR"/>
              </w:rPr>
              <w:t>9.442,80</w:t>
            </w:r>
          </w:p>
        </w:tc>
        <w:tc>
          <w:tcPr>
            <w:tcW w:w="1447" w:type="dxa"/>
            <w:tcBorders>
              <w:top w:val="nil"/>
              <w:left w:val="nil"/>
              <w:bottom w:val="nil"/>
              <w:right w:val="nil"/>
            </w:tcBorders>
            <w:shd w:val="clear" w:color="auto" w:fill="auto"/>
            <w:noWrap/>
            <w:vAlign w:val="bottom"/>
            <w:hideMark/>
          </w:tcPr>
          <w:p w:rsidR="006442CD" w:rsidRPr="006442CD" w:rsidRDefault="006442CD" w:rsidP="006442CD">
            <w:pPr>
              <w:jc w:val="right"/>
              <w:rPr>
                <w:rFonts w:ascii="Calibri" w:eastAsia="Times New Roman" w:hAnsi="Calibri" w:cs="Calibri"/>
                <w:color w:val="000000"/>
                <w:lang w:eastAsia="hr-HR"/>
              </w:rPr>
            </w:pPr>
            <w:r w:rsidRPr="006442CD">
              <w:rPr>
                <w:rFonts w:ascii="Calibri" w:eastAsia="Times New Roman" w:hAnsi="Calibri" w:cs="Calibri"/>
                <w:color w:val="000000"/>
                <w:lang w:eastAsia="hr-HR"/>
              </w:rPr>
              <w:t>9.442,80</w:t>
            </w:r>
          </w:p>
        </w:tc>
      </w:tr>
      <w:tr w:rsidR="006442CD" w:rsidRPr="006442CD" w:rsidTr="006442CD">
        <w:trPr>
          <w:trHeight w:val="300"/>
        </w:trPr>
        <w:tc>
          <w:tcPr>
            <w:tcW w:w="528" w:type="dxa"/>
            <w:tcBorders>
              <w:top w:val="nil"/>
              <w:left w:val="nil"/>
              <w:bottom w:val="nil"/>
              <w:right w:val="nil"/>
            </w:tcBorders>
            <w:shd w:val="clear" w:color="auto" w:fill="auto"/>
            <w:noWrap/>
            <w:vAlign w:val="bottom"/>
            <w:hideMark/>
          </w:tcPr>
          <w:p w:rsidR="006442CD" w:rsidRPr="006442CD" w:rsidRDefault="006442CD" w:rsidP="006442CD">
            <w:pPr>
              <w:jc w:val="right"/>
              <w:rPr>
                <w:rFonts w:ascii="Calibri" w:eastAsia="Times New Roman" w:hAnsi="Calibri" w:cs="Calibri"/>
                <w:color w:val="000000"/>
                <w:lang w:eastAsia="hr-HR"/>
              </w:rPr>
            </w:pPr>
            <w:r w:rsidRPr="006442CD">
              <w:rPr>
                <w:rFonts w:ascii="Calibri" w:eastAsia="Times New Roman" w:hAnsi="Calibri" w:cs="Calibri"/>
                <w:color w:val="000000"/>
                <w:lang w:eastAsia="hr-HR"/>
              </w:rPr>
              <w:t>3</w:t>
            </w:r>
          </w:p>
        </w:tc>
        <w:tc>
          <w:tcPr>
            <w:tcW w:w="960" w:type="dxa"/>
            <w:tcBorders>
              <w:top w:val="nil"/>
              <w:left w:val="nil"/>
              <w:bottom w:val="nil"/>
              <w:right w:val="nil"/>
            </w:tcBorders>
            <w:shd w:val="clear" w:color="auto" w:fill="auto"/>
            <w:noWrap/>
            <w:vAlign w:val="bottom"/>
            <w:hideMark/>
          </w:tcPr>
          <w:p w:rsidR="006442CD" w:rsidRPr="006442CD" w:rsidRDefault="006442CD" w:rsidP="006442CD">
            <w:pPr>
              <w:rPr>
                <w:rFonts w:ascii="Calibri" w:eastAsia="Times New Roman" w:hAnsi="Calibri" w:cs="Calibri"/>
                <w:color w:val="000000"/>
                <w:lang w:eastAsia="hr-HR"/>
              </w:rPr>
            </w:pPr>
            <w:r w:rsidRPr="006442CD">
              <w:rPr>
                <w:rFonts w:ascii="Calibri" w:eastAsia="Times New Roman" w:hAnsi="Calibri" w:cs="Calibri"/>
                <w:color w:val="000000"/>
                <w:lang w:eastAsia="hr-HR"/>
              </w:rPr>
              <w:t>0451</w:t>
            </w:r>
          </w:p>
        </w:tc>
        <w:tc>
          <w:tcPr>
            <w:tcW w:w="3280" w:type="dxa"/>
            <w:tcBorders>
              <w:top w:val="nil"/>
              <w:left w:val="nil"/>
              <w:bottom w:val="nil"/>
              <w:right w:val="nil"/>
            </w:tcBorders>
            <w:shd w:val="clear" w:color="auto" w:fill="auto"/>
            <w:noWrap/>
            <w:vAlign w:val="bottom"/>
            <w:hideMark/>
          </w:tcPr>
          <w:p w:rsidR="006442CD" w:rsidRPr="006442CD" w:rsidRDefault="006442CD" w:rsidP="006442CD">
            <w:pPr>
              <w:rPr>
                <w:rFonts w:ascii="Calibri" w:eastAsia="Times New Roman" w:hAnsi="Calibri" w:cs="Calibri"/>
                <w:color w:val="000000"/>
                <w:lang w:eastAsia="hr-HR"/>
              </w:rPr>
            </w:pPr>
            <w:r w:rsidRPr="006442CD">
              <w:rPr>
                <w:rFonts w:ascii="Calibri" w:eastAsia="Times New Roman" w:hAnsi="Calibri" w:cs="Calibri"/>
                <w:color w:val="000000"/>
                <w:lang w:eastAsia="hr-HR"/>
              </w:rPr>
              <w:t>DELTRON d.o.o.</w:t>
            </w:r>
          </w:p>
        </w:tc>
        <w:tc>
          <w:tcPr>
            <w:tcW w:w="1440" w:type="dxa"/>
            <w:tcBorders>
              <w:top w:val="nil"/>
              <w:left w:val="nil"/>
              <w:bottom w:val="nil"/>
              <w:right w:val="nil"/>
            </w:tcBorders>
            <w:shd w:val="clear" w:color="auto" w:fill="auto"/>
            <w:noWrap/>
            <w:vAlign w:val="bottom"/>
            <w:hideMark/>
          </w:tcPr>
          <w:p w:rsidR="006442CD" w:rsidRPr="006442CD" w:rsidRDefault="006442CD" w:rsidP="006442CD">
            <w:pPr>
              <w:jc w:val="right"/>
              <w:rPr>
                <w:rFonts w:ascii="Calibri" w:eastAsia="Times New Roman" w:hAnsi="Calibri" w:cs="Calibri"/>
                <w:color w:val="000000"/>
                <w:lang w:eastAsia="hr-HR"/>
              </w:rPr>
            </w:pPr>
            <w:r w:rsidRPr="006442CD">
              <w:rPr>
                <w:rFonts w:ascii="Calibri" w:eastAsia="Times New Roman" w:hAnsi="Calibri" w:cs="Calibri"/>
                <w:color w:val="000000"/>
                <w:lang w:eastAsia="hr-HR"/>
              </w:rPr>
              <w:t>17.857,10</w:t>
            </w:r>
          </w:p>
        </w:tc>
        <w:tc>
          <w:tcPr>
            <w:tcW w:w="1447" w:type="dxa"/>
            <w:tcBorders>
              <w:top w:val="nil"/>
              <w:left w:val="nil"/>
              <w:bottom w:val="nil"/>
              <w:right w:val="nil"/>
            </w:tcBorders>
            <w:shd w:val="clear" w:color="auto" w:fill="auto"/>
            <w:noWrap/>
            <w:vAlign w:val="bottom"/>
            <w:hideMark/>
          </w:tcPr>
          <w:p w:rsidR="006442CD" w:rsidRPr="006442CD" w:rsidRDefault="006442CD" w:rsidP="006442CD">
            <w:pPr>
              <w:jc w:val="right"/>
              <w:rPr>
                <w:rFonts w:ascii="Calibri" w:eastAsia="Times New Roman" w:hAnsi="Calibri" w:cs="Calibri"/>
                <w:color w:val="000000"/>
                <w:lang w:eastAsia="hr-HR"/>
              </w:rPr>
            </w:pPr>
            <w:r w:rsidRPr="006442CD">
              <w:rPr>
                <w:rFonts w:ascii="Calibri" w:eastAsia="Times New Roman" w:hAnsi="Calibri" w:cs="Calibri"/>
                <w:color w:val="000000"/>
                <w:lang w:eastAsia="hr-HR"/>
              </w:rPr>
              <w:t>9.228,55</w:t>
            </w:r>
          </w:p>
        </w:tc>
      </w:tr>
      <w:tr w:rsidR="006442CD" w:rsidRPr="006442CD" w:rsidTr="006442CD">
        <w:trPr>
          <w:trHeight w:val="300"/>
        </w:trPr>
        <w:tc>
          <w:tcPr>
            <w:tcW w:w="528" w:type="dxa"/>
            <w:tcBorders>
              <w:top w:val="nil"/>
              <w:left w:val="nil"/>
              <w:bottom w:val="nil"/>
              <w:right w:val="nil"/>
            </w:tcBorders>
            <w:shd w:val="clear" w:color="auto" w:fill="auto"/>
            <w:noWrap/>
            <w:vAlign w:val="bottom"/>
            <w:hideMark/>
          </w:tcPr>
          <w:p w:rsidR="006442CD" w:rsidRPr="006442CD" w:rsidRDefault="006442CD" w:rsidP="006442CD">
            <w:pPr>
              <w:jc w:val="right"/>
              <w:rPr>
                <w:rFonts w:ascii="Calibri" w:eastAsia="Times New Roman" w:hAnsi="Calibri" w:cs="Calibri"/>
                <w:color w:val="000000"/>
                <w:lang w:eastAsia="hr-HR"/>
              </w:rPr>
            </w:pPr>
            <w:r w:rsidRPr="006442CD">
              <w:rPr>
                <w:rFonts w:ascii="Calibri" w:eastAsia="Times New Roman" w:hAnsi="Calibri" w:cs="Calibri"/>
                <w:color w:val="000000"/>
                <w:lang w:eastAsia="hr-HR"/>
              </w:rPr>
              <w:t>4</w:t>
            </w:r>
          </w:p>
        </w:tc>
        <w:tc>
          <w:tcPr>
            <w:tcW w:w="960" w:type="dxa"/>
            <w:tcBorders>
              <w:top w:val="nil"/>
              <w:left w:val="nil"/>
              <w:bottom w:val="nil"/>
              <w:right w:val="nil"/>
            </w:tcBorders>
            <w:shd w:val="clear" w:color="auto" w:fill="auto"/>
            <w:noWrap/>
            <w:vAlign w:val="bottom"/>
            <w:hideMark/>
          </w:tcPr>
          <w:p w:rsidR="006442CD" w:rsidRPr="006442CD" w:rsidRDefault="006442CD" w:rsidP="006442CD">
            <w:pPr>
              <w:rPr>
                <w:rFonts w:ascii="Calibri" w:eastAsia="Times New Roman" w:hAnsi="Calibri" w:cs="Calibri"/>
                <w:color w:val="000000"/>
                <w:lang w:eastAsia="hr-HR"/>
              </w:rPr>
            </w:pPr>
            <w:r w:rsidRPr="006442CD">
              <w:rPr>
                <w:rFonts w:ascii="Calibri" w:eastAsia="Times New Roman" w:hAnsi="Calibri" w:cs="Calibri"/>
                <w:color w:val="000000"/>
                <w:lang w:eastAsia="hr-HR"/>
              </w:rPr>
              <w:t>0242</w:t>
            </w:r>
          </w:p>
        </w:tc>
        <w:tc>
          <w:tcPr>
            <w:tcW w:w="3280" w:type="dxa"/>
            <w:tcBorders>
              <w:top w:val="nil"/>
              <w:left w:val="nil"/>
              <w:bottom w:val="nil"/>
              <w:right w:val="nil"/>
            </w:tcBorders>
            <w:shd w:val="clear" w:color="auto" w:fill="auto"/>
            <w:noWrap/>
            <w:vAlign w:val="bottom"/>
            <w:hideMark/>
          </w:tcPr>
          <w:p w:rsidR="006442CD" w:rsidRPr="006442CD" w:rsidRDefault="006442CD" w:rsidP="006442CD">
            <w:pPr>
              <w:rPr>
                <w:rFonts w:ascii="Calibri" w:eastAsia="Times New Roman" w:hAnsi="Calibri" w:cs="Calibri"/>
                <w:color w:val="000000"/>
                <w:lang w:eastAsia="hr-HR"/>
              </w:rPr>
            </w:pPr>
            <w:r w:rsidRPr="006442CD">
              <w:rPr>
                <w:rFonts w:ascii="Calibri" w:eastAsia="Times New Roman" w:hAnsi="Calibri" w:cs="Calibri"/>
                <w:color w:val="000000"/>
                <w:lang w:eastAsia="hr-HR"/>
              </w:rPr>
              <w:t>CROATIA OSIGURANJE D.D.</w:t>
            </w:r>
          </w:p>
        </w:tc>
        <w:tc>
          <w:tcPr>
            <w:tcW w:w="1440" w:type="dxa"/>
            <w:tcBorders>
              <w:top w:val="nil"/>
              <w:left w:val="nil"/>
              <w:bottom w:val="nil"/>
              <w:right w:val="nil"/>
            </w:tcBorders>
            <w:shd w:val="clear" w:color="auto" w:fill="auto"/>
            <w:noWrap/>
            <w:vAlign w:val="bottom"/>
            <w:hideMark/>
          </w:tcPr>
          <w:p w:rsidR="006442CD" w:rsidRPr="006442CD" w:rsidRDefault="006442CD" w:rsidP="006442CD">
            <w:pPr>
              <w:jc w:val="right"/>
              <w:rPr>
                <w:rFonts w:ascii="Calibri" w:eastAsia="Times New Roman" w:hAnsi="Calibri" w:cs="Calibri"/>
                <w:color w:val="000000"/>
                <w:lang w:eastAsia="hr-HR"/>
              </w:rPr>
            </w:pPr>
            <w:r w:rsidRPr="006442CD">
              <w:rPr>
                <w:rFonts w:ascii="Calibri" w:eastAsia="Times New Roman" w:hAnsi="Calibri" w:cs="Calibri"/>
                <w:color w:val="000000"/>
                <w:lang w:eastAsia="hr-HR"/>
              </w:rPr>
              <w:t>16.442,59</w:t>
            </w:r>
          </w:p>
        </w:tc>
        <w:tc>
          <w:tcPr>
            <w:tcW w:w="1447" w:type="dxa"/>
            <w:tcBorders>
              <w:top w:val="nil"/>
              <w:left w:val="nil"/>
              <w:bottom w:val="nil"/>
              <w:right w:val="nil"/>
            </w:tcBorders>
            <w:shd w:val="clear" w:color="auto" w:fill="auto"/>
            <w:noWrap/>
            <w:vAlign w:val="bottom"/>
            <w:hideMark/>
          </w:tcPr>
          <w:p w:rsidR="006442CD" w:rsidRPr="006442CD" w:rsidRDefault="006442CD" w:rsidP="006442CD">
            <w:pPr>
              <w:jc w:val="right"/>
              <w:rPr>
                <w:rFonts w:ascii="Calibri" w:eastAsia="Times New Roman" w:hAnsi="Calibri" w:cs="Calibri"/>
                <w:color w:val="000000"/>
                <w:lang w:eastAsia="hr-HR"/>
              </w:rPr>
            </w:pPr>
            <w:r w:rsidRPr="006442CD">
              <w:rPr>
                <w:rFonts w:ascii="Calibri" w:eastAsia="Times New Roman" w:hAnsi="Calibri" w:cs="Calibri"/>
                <w:color w:val="000000"/>
                <w:lang w:eastAsia="hr-HR"/>
              </w:rPr>
              <w:t>8.215,25</w:t>
            </w:r>
          </w:p>
        </w:tc>
      </w:tr>
      <w:tr w:rsidR="006442CD" w:rsidRPr="006442CD" w:rsidTr="006442CD">
        <w:trPr>
          <w:trHeight w:val="300"/>
        </w:trPr>
        <w:tc>
          <w:tcPr>
            <w:tcW w:w="528" w:type="dxa"/>
            <w:tcBorders>
              <w:top w:val="nil"/>
              <w:left w:val="nil"/>
              <w:bottom w:val="nil"/>
              <w:right w:val="nil"/>
            </w:tcBorders>
            <w:shd w:val="clear" w:color="auto" w:fill="auto"/>
            <w:noWrap/>
            <w:vAlign w:val="bottom"/>
            <w:hideMark/>
          </w:tcPr>
          <w:p w:rsidR="006442CD" w:rsidRPr="006442CD" w:rsidRDefault="006442CD" w:rsidP="006442CD">
            <w:pPr>
              <w:jc w:val="right"/>
              <w:rPr>
                <w:rFonts w:ascii="Calibri" w:eastAsia="Times New Roman" w:hAnsi="Calibri" w:cs="Calibri"/>
                <w:color w:val="000000"/>
                <w:lang w:eastAsia="hr-HR"/>
              </w:rPr>
            </w:pPr>
            <w:r w:rsidRPr="006442CD">
              <w:rPr>
                <w:rFonts w:ascii="Calibri" w:eastAsia="Times New Roman" w:hAnsi="Calibri" w:cs="Calibri"/>
                <w:color w:val="000000"/>
                <w:lang w:eastAsia="hr-HR"/>
              </w:rPr>
              <w:t>5</w:t>
            </w:r>
          </w:p>
        </w:tc>
        <w:tc>
          <w:tcPr>
            <w:tcW w:w="960" w:type="dxa"/>
            <w:tcBorders>
              <w:top w:val="nil"/>
              <w:left w:val="nil"/>
              <w:bottom w:val="nil"/>
              <w:right w:val="nil"/>
            </w:tcBorders>
            <w:shd w:val="clear" w:color="auto" w:fill="auto"/>
            <w:noWrap/>
            <w:vAlign w:val="bottom"/>
            <w:hideMark/>
          </w:tcPr>
          <w:p w:rsidR="006442CD" w:rsidRPr="006442CD" w:rsidRDefault="006442CD" w:rsidP="006442CD">
            <w:pPr>
              <w:rPr>
                <w:rFonts w:ascii="Calibri" w:eastAsia="Times New Roman" w:hAnsi="Calibri" w:cs="Calibri"/>
                <w:color w:val="000000"/>
                <w:lang w:eastAsia="hr-HR"/>
              </w:rPr>
            </w:pPr>
            <w:r w:rsidRPr="006442CD">
              <w:rPr>
                <w:rFonts w:ascii="Calibri" w:eastAsia="Times New Roman" w:hAnsi="Calibri" w:cs="Calibri"/>
                <w:color w:val="000000"/>
                <w:lang w:eastAsia="hr-HR"/>
              </w:rPr>
              <w:t>0432</w:t>
            </w:r>
          </w:p>
        </w:tc>
        <w:tc>
          <w:tcPr>
            <w:tcW w:w="3280" w:type="dxa"/>
            <w:tcBorders>
              <w:top w:val="nil"/>
              <w:left w:val="nil"/>
              <w:bottom w:val="nil"/>
              <w:right w:val="nil"/>
            </w:tcBorders>
            <w:shd w:val="clear" w:color="auto" w:fill="auto"/>
            <w:noWrap/>
            <w:vAlign w:val="bottom"/>
            <w:hideMark/>
          </w:tcPr>
          <w:p w:rsidR="006442CD" w:rsidRPr="006442CD" w:rsidRDefault="006442CD" w:rsidP="006442CD">
            <w:pPr>
              <w:rPr>
                <w:rFonts w:ascii="Calibri" w:eastAsia="Times New Roman" w:hAnsi="Calibri" w:cs="Calibri"/>
                <w:color w:val="000000"/>
                <w:lang w:eastAsia="hr-HR"/>
              </w:rPr>
            </w:pPr>
            <w:r w:rsidRPr="006442CD">
              <w:rPr>
                <w:rFonts w:ascii="Calibri" w:eastAsia="Times New Roman" w:hAnsi="Calibri" w:cs="Calibri"/>
                <w:color w:val="000000"/>
                <w:lang w:eastAsia="hr-HR"/>
              </w:rPr>
              <w:t>PIN TEHNIKA d.o.o.</w:t>
            </w:r>
          </w:p>
        </w:tc>
        <w:tc>
          <w:tcPr>
            <w:tcW w:w="1440" w:type="dxa"/>
            <w:tcBorders>
              <w:top w:val="nil"/>
              <w:left w:val="nil"/>
              <w:bottom w:val="nil"/>
              <w:right w:val="nil"/>
            </w:tcBorders>
            <w:shd w:val="clear" w:color="auto" w:fill="auto"/>
            <w:noWrap/>
            <w:vAlign w:val="bottom"/>
            <w:hideMark/>
          </w:tcPr>
          <w:p w:rsidR="006442CD" w:rsidRPr="006442CD" w:rsidRDefault="006442CD" w:rsidP="006442CD">
            <w:pPr>
              <w:jc w:val="right"/>
              <w:rPr>
                <w:rFonts w:ascii="Calibri" w:eastAsia="Times New Roman" w:hAnsi="Calibri" w:cs="Calibri"/>
                <w:color w:val="000000"/>
                <w:lang w:eastAsia="hr-HR"/>
              </w:rPr>
            </w:pPr>
            <w:r w:rsidRPr="006442CD">
              <w:rPr>
                <w:rFonts w:ascii="Calibri" w:eastAsia="Times New Roman" w:hAnsi="Calibri" w:cs="Calibri"/>
                <w:color w:val="000000"/>
                <w:lang w:eastAsia="hr-HR"/>
              </w:rPr>
              <w:t>0,00</w:t>
            </w:r>
          </w:p>
        </w:tc>
        <w:tc>
          <w:tcPr>
            <w:tcW w:w="1447" w:type="dxa"/>
            <w:tcBorders>
              <w:top w:val="nil"/>
              <w:left w:val="nil"/>
              <w:bottom w:val="nil"/>
              <w:right w:val="nil"/>
            </w:tcBorders>
            <w:shd w:val="clear" w:color="auto" w:fill="auto"/>
            <w:noWrap/>
            <w:vAlign w:val="bottom"/>
            <w:hideMark/>
          </w:tcPr>
          <w:p w:rsidR="006442CD" w:rsidRPr="006442CD" w:rsidRDefault="006442CD" w:rsidP="006442CD">
            <w:pPr>
              <w:jc w:val="right"/>
              <w:rPr>
                <w:rFonts w:ascii="Calibri" w:eastAsia="Times New Roman" w:hAnsi="Calibri" w:cs="Calibri"/>
                <w:color w:val="000000"/>
                <w:lang w:eastAsia="hr-HR"/>
              </w:rPr>
            </w:pPr>
            <w:r w:rsidRPr="006442CD">
              <w:rPr>
                <w:rFonts w:ascii="Calibri" w:eastAsia="Times New Roman" w:hAnsi="Calibri" w:cs="Calibri"/>
                <w:color w:val="000000"/>
                <w:lang w:eastAsia="hr-HR"/>
              </w:rPr>
              <w:t>7.776,00</w:t>
            </w:r>
          </w:p>
        </w:tc>
      </w:tr>
      <w:tr w:rsidR="006442CD" w:rsidRPr="006442CD" w:rsidTr="006442CD">
        <w:trPr>
          <w:trHeight w:val="300"/>
        </w:trPr>
        <w:tc>
          <w:tcPr>
            <w:tcW w:w="528" w:type="dxa"/>
            <w:tcBorders>
              <w:top w:val="nil"/>
              <w:left w:val="nil"/>
              <w:bottom w:val="nil"/>
              <w:right w:val="nil"/>
            </w:tcBorders>
            <w:shd w:val="clear" w:color="auto" w:fill="auto"/>
            <w:noWrap/>
            <w:vAlign w:val="bottom"/>
            <w:hideMark/>
          </w:tcPr>
          <w:p w:rsidR="006442CD" w:rsidRPr="006442CD" w:rsidRDefault="006442CD" w:rsidP="006442CD">
            <w:pPr>
              <w:jc w:val="right"/>
              <w:rPr>
                <w:rFonts w:ascii="Calibri" w:eastAsia="Times New Roman" w:hAnsi="Calibri" w:cs="Calibri"/>
                <w:color w:val="000000"/>
                <w:lang w:eastAsia="hr-HR"/>
              </w:rPr>
            </w:pPr>
            <w:r w:rsidRPr="006442CD">
              <w:rPr>
                <w:rFonts w:ascii="Calibri" w:eastAsia="Times New Roman" w:hAnsi="Calibri" w:cs="Calibri"/>
                <w:color w:val="000000"/>
                <w:lang w:eastAsia="hr-HR"/>
              </w:rPr>
              <w:t>6</w:t>
            </w:r>
          </w:p>
        </w:tc>
        <w:tc>
          <w:tcPr>
            <w:tcW w:w="960" w:type="dxa"/>
            <w:tcBorders>
              <w:top w:val="nil"/>
              <w:left w:val="nil"/>
              <w:bottom w:val="nil"/>
              <w:right w:val="nil"/>
            </w:tcBorders>
            <w:shd w:val="clear" w:color="auto" w:fill="auto"/>
            <w:noWrap/>
            <w:vAlign w:val="bottom"/>
            <w:hideMark/>
          </w:tcPr>
          <w:p w:rsidR="006442CD" w:rsidRPr="006442CD" w:rsidRDefault="006442CD" w:rsidP="006442CD">
            <w:pPr>
              <w:rPr>
                <w:rFonts w:ascii="Calibri" w:eastAsia="Times New Roman" w:hAnsi="Calibri" w:cs="Calibri"/>
                <w:color w:val="000000"/>
                <w:lang w:eastAsia="hr-HR"/>
              </w:rPr>
            </w:pPr>
            <w:r w:rsidRPr="006442CD">
              <w:rPr>
                <w:rFonts w:ascii="Calibri" w:eastAsia="Times New Roman" w:hAnsi="Calibri" w:cs="Calibri"/>
                <w:color w:val="000000"/>
                <w:lang w:eastAsia="hr-HR"/>
              </w:rPr>
              <w:t>0018</w:t>
            </w:r>
          </w:p>
        </w:tc>
        <w:tc>
          <w:tcPr>
            <w:tcW w:w="3280" w:type="dxa"/>
            <w:tcBorders>
              <w:top w:val="nil"/>
              <w:left w:val="nil"/>
              <w:bottom w:val="nil"/>
              <w:right w:val="nil"/>
            </w:tcBorders>
            <w:shd w:val="clear" w:color="auto" w:fill="auto"/>
            <w:noWrap/>
            <w:vAlign w:val="bottom"/>
            <w:hideMark/>
          </w:tcPr>
          <w:p w:rsidR="006442CD" w:rsidRPr="006442CD" w:rsidRDefault="006442CD" w:rsidP="006442CD">
            <w:pPr>
              <w:rPr>
                <w:rFonts w:ascii="Calibri" w:eastAsia="Times New Roman" w:hAnsi="Calibri" w:cs="Calibri"/>
                <w:color w:val="000000"/>
                <w:lang w:eastAsia="hr-HR"/>
              </w:rPr>
            </w:pPr>
            <w:r w:rsidRPr="006442CD">
              <w:rPr>
                <w:rFonts w:ascii="Calibri" w:eastAsia="Times New Roman" w:hAnsi="Calibri" w:cs="Calibri"/>
                <w:color w:val="000000"/>
                <w:lang w:eastAsia="hr-HR"/>
              </w:rPr>
              <w:t>VODOOPSKRBA I ODVODNJA</w:t>
            </w:r>
          </w:p>
        </w:tc>
        <w:tc>
          <w:tcPr>
            <w:tcW w:w="1440" w:type="dxa"/>
            <w:tcBorders>
              <w:top w:val="nil"/>
              <w:left w:val="nil"/>
              <w:bottom w:val="nil"/>
              <w:right w:val="nil"/>
            </w:tcBorders>
            <w:shd w:val="clear" w:color="auto" w:fill="auto"/>
            <w:noWrap/>
            <w:vAlign w:val="bottom"/>
            <w:hideMark/>
          </w:tcPr>
          <w:p w:rsidR="006442CD" w:rsidRPr="006442CD" w:rsidRDefault="006442CD" w:rsidP="006442CD">
            <w:pPr>
              <w:jc w:val="right"/>
              <w:rPr>
                <w:rFonts w:ascii="Calibri" w:eastAsia="Times New Roman" w:hAnsi="Calibri" w:cs="Calibri"/>
                <w:color w:val="000000"/>
                <w:lang w:eastAsia="hr-HR"/>
              </w:rPr>
            </w:pPr>
            <w:r w:rsidRPr="006442CD">
              <w:rPr>
                <w:rFonts w:ascii="Calibri" w:eastAsia="Times New Roman" w:hAnsi="Calibri" w:cs="Calibri"/>
                <w:color w:val="000000"/>
                <w:lang w:eastAsia="hr-HR"/>
              </w:rPr>
              <w:t>1.535,90</w:t>
            </w:r>
          </w:p>
        </w:tc>
        <w:tc>
          <w:tcPr>
            <w:tcW w:w="1447" w:type="dxa"/>
            <w:tcBorders>
              <w:top w:val="nil"/>
              <w:left w:val="nil"/>
              <w:bottom w:val="nil"/>
              <w:right w:val="nil"/>
            </w:tcBorders>
            <w:shd w:val="clear" w:color="auto" w:fill="auto"/>
            <w:noWrap/>
            <w:vAlign w:val="bottom"/>
            <w:hideMark/>
          </w:tcPr>
          <w:p w:rsidR="006442CD" w:rsidRPr="006442CD" w:rsidRDefault="006442CD" w:rsidP="006442CD">
            <w:pPr>
              <w:jc w:val="right"/>
              <w:rPr>
                <w:rFonts w:ascii="Calibri" w:eastAsia="Times New Roman" w:hAnsi="Calibri" w:cs="Calibri"/>
                <w:color w:val="000000"/>
                <w:lang w:eastAsia="hr-HR"/>
              </w:rPr>
            </w:pPr>
            <w:r w:rsidRPr="006442CD">
              <w:rPr>
                <w:rFonts w:ascii="Calibri" w:eastAsia="Times New Roman" w:hAnsi="Calibri" w:cs="Calibri"/>
                <w:color w:val="000000"/>
                <w:lang w:eastAsia="hr-HR"/>
              </w:rPr>
              <w:t>1.987,63</w:t>
            </w:r>
          </w:p>
        </w:tc>
      </w:tr>
      <w:tr w:rsidR="006442CD" w:rsidRPr="006442CD" w:rsidTr="006442CD">
        <w:trPr>
          <w:trHeight w:val="300"/>
        </w:trPr>
        <w:tc>
          <w:tcPr>
            <w:tcW w:w="528" w:type="dxa"/>
            <w:tcBorders>
              <w:top w:val="nil"/>
              <w:left w:val="nil"/>
              <w:bottom w:val="nil"/>
              <w:right w:val="nil"/>
            </w:tcBorders>
            <w:shd w:val="clear" w:color="auto" w:fill="auto"/>
            <w:noWrap/>
            <w:vAlign w:val="bottom"/>
            <w:hideMark/>
          </w:tcPr>
          <w:p w:rsidR="006442CD" w:rsidRPr="006442CD" w:rsidRDefault="006442CD" w:rsidP="006442CD">
            <w:pPr>
              <w:jc w:val="right"/>
              <w:rPr>
                <w:rFonts w:ascii="Calibri" w:eastAsia="Times New Roman" w:hAnsi="Calibri" w:cs="Calibri"/>
                <w:color w:val="000000"/>
                <w:lang w:eastAsia="hr-HR"/>
              </w:rPr>
            </w:pPr>
            <w:r w:rsidRPr="006442CD">
              <w:rPr>
                <w:rFonts w:ascii="Calibri" w:eastAsia="Times New Roman" w:hAnsi="Calibri" w:cs="Calibri"/>
                <w:color w:val="000000"/>
                <w:lang w:eastAsia="hr-HR"/>
              </w:rPr>
              <w:t>7</w:t>
            </w:r>
          </w:p>
        </w:tc>
        <w:tc>
          <w:tcPr>
            <w:tcW w:w="960" w:type="dxa"/>
            <w:tcBorders>
              <w:top w:val="nil"/>
              <w:left w:val="nil"/>
              <w:bottom w:val="nil"/>
              <w:right w:val="nil"/>
            </w:tcBorders>
            <w:shd w:val="clear" w:color="auto" w:fill="auto"/>
            <w:noWrap/>
            <w:vAlign w:val="bottom"/>
            <w:hideMark/>
          </w:tcPr>
          <w:p w:rsidR="006442CD" w:rsidRPr="006442CD" w:rsidRDefault="006442CD" w:rsidP="006442CD">
            <w:pPr>
              <w:rPr>
                <w:rFonts w:ascii="Calibri" w:eastAsia="Times New Roman" w:hAnsi="Calibri" w:cs="Calibri"/>
                <w:color w:val="000000"/>
                <w:lang w:eastAsia="hr-HR"/>
              </w:rPr>
            </w:pPr>
            <w:r w:rsidRPr="006442CD">
              <w:rPr>
                <w:rFonts w:ascii="Calibri" w:eastAsia="Times New Roman" w:hAnsi="Calibri" w:cs="Calibri"/>
                <w:color w:val="000000"/>
                <w:lang w:eastAsia="hr-HR"/>
              </w:rPr>
              <w:t>0003</w:t>
            </w:r>
          </w:p>
        </w:tc>
        <w:tc>
          <w:tcPr>
            <w:tcW w:w="3280" w:type="dxa"/>
            <w:tcBorders>
              <w:top w:val="nil"/>
              <w:left w:val="nil"/>
              <w:bottom w:val="nil"/>
              <w:right w:val="nil"/>
            </w:tcBorders>
            <w:shd w:val="clear" w:color="auto" w:fill="auto"/>
            <w:noWrap/>
            <w:vAlign w:val="bottom"/>
            <w:hideMark/>
          </w:tcPr>
          <w:p w:rsidR="006442CD" w:rsidRPr="006442CD" w:rsidRDefault="006442CD" w:rsidP="006442CD">
            <w:pPr>
              <w:rPr>
                <w:rFonts w:ascii="Calibri" w:eastAsia="Times New Roman" w:hAnsi="Calibri" w:cs="Calibri"/>
                <w:color w:val="000000"/>
                <w:lang w:eastAsia="hr-HR"/>
              </w:rPr>
            </w:pPr>
            <w:r w:rsidRPr="006442CD">
              <w:rPr>
                <w:rFonts w:ascii="Calibri" w:eastAsia="Times New Roman" w:hAnsi="Calibri" w:cs="Calibri"/>
                <w:color w:val="000000"/>
                <w:lang w:eastAsia="hr-HR"/>
              </w:rPr>
              <w:t>ČISTOĆA d.o.o.</w:t>
            </w:r>
          </w:p>
        </w:tc>
        <w:tc>
          <w:tcPr>
            <w:tcW w:w="1440" w:type="dxa"/>
            <w:tcBorders>
              <w:top w:val="nil"/>
              <w:left w:val="nil"/>
              <w:bottom w:val="nil"/>
              <w:right w:val="nil"/>
            </w:tcBorders>
            <w:shd w:val="clear" w:color="auto" w:fill="auto"/>
            <w:noWrap/>
            <w:vAlign w:val="bottom"/>
            <w:hideMark/>
          </w:tcPr>
          <w:p w:rsidR="006442CD" w:rsidRPr="006442CD" w:rsidRDefault="006442CD" w:rsidP="006442CD">
            <w:pPr>
              <w:jc w:val="right"/>
              <w:rPr>
                <w:rFonts w:ascii="Calibri" w:eastAsia="Times New Roman" w:hAnsi="Calibri" w:cs="Calibri"/>
                <w:color w:val="000000"/>
                <w:lang w:eastAsia="hr-HR"/>
              </w:rPr>
            </w:pPr>
            <w:r w:rsidRPr="006442CD">
              <w:rPr>
                <w:rFonts w:ascii="Calibri" w:eastAsia="Times New Roman" w:hAnsi="Calibri" w:cs="Calibri"/>
                <w:color w:val="000000"/>
                <w:lang w:eastAsia="hr-HR"/>
              </w:rPr>
              <w:t>557,90</w:t>
            </w:r>
          </w:p>
        </w:tc>
        <w:tc>
          <w:tcPr>
            <w:tcW w:w="1447" w:type="dxa"/>
            <w:tcBorders>
              <w:top w:val="nil"/>
              <w:left w:val="nil"/>
              <w:bottom w:val="nil"/>
              <w:right w:val="nil"/>
            </w:tcBorders>
            <w:shd w:val="clear" w:color="auto" w:fill="auto"/>
            <w:noWrap/>
            <w:vAlign w:val="bottom"/>
            <w:hideMark/>
          </w:tcPr>
          <w:p w:rsidR="006442CD" w:rsidRPr="006442CD" w:rsidRDefault="006442CD" w:rsidP="006442CD">
            <w:pPr>
              <w:jc w:val="right"/>
              <w:rPr>
                <w:rFonts w:ascii="Calibri" w:eastAsia="Times New Roman" w:hAnsi="Calibri" w:cs="Calibri"/>
                <w:color w:val="000000"/>
                <w:lang w:eastAsia="hr-HR"/>
              </w:rPr>
            </w:pPr>
            <w:r w:rsidRPr="006442CD">
              <w:rPr>
                <w:rFonts w:ascii="Calibri" w:eastAsia="Times New Roman" w:hAnsi="Calibri" w:cs="Calibri"/>
                <w:color w:val="000000"/>
                <w:lang w:eastAsia="hr-HR"/>
              </w:rPr>
              <w:t>1.480,01</w:t>
            </w:r>
          </w:p>
        </w:tc>
      </w:tr>
      <w:tr w:rsidR="006442CD" w:rsidRPr="006442CD" w:rsidTr="006442CD">
        <w:trPr>
          <w:trHeight w:val="300"/>
        </w:trPr>
        <w:tc>
          <w:tcPr>
            <w:tcW w:w="528" w:type="dxa"/>
            <w:tcBorders>
              <w:top w:val="nil"/>
              <w:left w:val="nil"/>
              <w:bottom w:val="nil"/>
              <w:right w:val="nil"/>
            </w:tcBorders>
            <w:shd w:val="clear" w:color="auto" w:fill="auto"/>
            <w:noWrap/>
            <w:vAlign w:val="bottom"/>
            <w:hideMark/>
          </w:tcPr>
          <w:p w:rsidR="006442CD" w:rsidRPr="006442CD" w:rsidRDefault="006442CD" w:rsidP="006442CD">
            <w:pPr>
              <w:jc w:val="right"/>
              <w:rPr>
                <w:rFonts w:ascii="Calibri" w:eastAsia="Times New Roman" w:hAnsi="Calibri" w:cs="Calibri"/>
                <w:color w:val="000000"/>
                <w:lang w:eastAsia="hr-HR"/>
              </w:rPr>
            </w:pPr>
            <w:r w:rsidRPr="006442CD">
              <w:rPr>
                <w:rFonts w:ascii="Calibri" w:eastAsia="Times New Roman" w:hAnsi="Calibri" w:cs="Calibri"/>
                <w:color w:val="000000"/>
                <w:lang w:eastAsia="hr-HR"/>
              </w:rPr>
              <w:t>8</w:t>
            </w:r>
          </w:p>
        </w:tc>
        <w:tc>
          <w:tcPr>
            <w:tcW w:w="960" w:type="dxa"/>
            <w:tcBorders>
              <w:top w:val="nil"/>
              <w:left w:val="nil"/>
              <w:bottom w:val="nil"/>
              <w:right w:val="nil"/>
            </w:tcBorders>
            <w:shd w:val="clear" w:color="auto" w:fill="auto"/>
            <w:noWrap/>
            <w:vAlign w:val="bottom"/>
            <w:hideMark/>
          </w:tcPr>
          <w:p w:rsidR="006442CD" w:rsidRPr="006442CD" w:rsidRDefault="006442CD" w:rsidP="006442CD">
            <w:pPr>
              <w:rPr>
                <w:rFonts w:ascii="Calibri" w:eastAsia="Times New Roman" w:hAnsi="Calibri" w:cs="Calibri"/>
                <w:color w:val="000000"/>
                <w:lang w:eastAsia="hr-HR"/>
              </w:rPr>
            </w:pPr>
            <w:r w:rsidRPr="006442CD">
              <w:rPr>
                <w:rFonts w:ascii="Calibri" w:eastAsia="Times New Roman" w:hAnsi="Calibri" w:cs="Calibri"/>
                <w:color w:val="000000"/>
                <w:lang w:eastAsia="hr-HR"/>
              </w:rPr>
              <w:t>0191</w:t>
            </w:r>
          </w:p>
        </w:tc>
        <w:tc>
          <w:tcPr>
            <w:tcW w:w="3280" w:type="dxa"/>
            <w:tcBorders>
              <w:top w:val="nil"/>
              <w:left w:val="nil"/>
              <w:bottom w:val="nil"/>
              <w:right w:val="nil"/>
            </w:tcBorders>
            <w:shd w:val="clear" w:color="auto" w:fill="auto"/>
            <w:noWrap/>
            <w:vAlign w:val="bottom"/>
            <w:hideMark/>
          </w:tcPr>
          <w:p w:rsidR="006442CD" w:rsidRPr="006442CD" w:rsidRDefault="006442CD" w:rsidP="006442CD">
            <w:pPr>
              <w:rPr>
                <w:rFonts w:ascii="Calibri" w:eastAsia="Times New Roman" w:hAnsi="Calibri" w:cs="Calibri"/>
                <w:color w:val="000000"/>
                <w:lang w:eastAsia="hr-HR"/>
              </w:rPr>
            </w:pPr>
            <w:r w:rsidRPr="006442CD">
              <w:rPr>
                <w:rFonts w:ascii="Calibri" w:eastAsia="Times New Roman" w:hAnsi="Calibri" w:cs="Calibri"/>
                <w:color w:val="000000"/>
                <w:lang w:eastAsia="hr-HR"/>
              </w:rPr>
              <w:t>INEL-MEDICINSKA TEHNIKA d.o.o.</w:t>
            </w:r>
          </w:p>
        </w:tc>
        <w:tc>
          <w:tcPr>
            <w:tcW w:w="1440" w:type="dxa"/>
            <w:tcBorders>
              <w:top w:val="nil"/>
              <w:left w:val="nil"/>
              <w:bottom w:val="nil"/>
              <w:right w:val="nil"/>
            </w:tcBorders>
            <w:shd w:val="clear" w:color="auto" w:fill="auto"/>
            <w:noWrap/>
            <w:vAlign w:val="bottom"/>
            <w:hideMark/>
          </w:tcPr>
          <w:p w:rsidR="006442CD" w:rsidRPr="006442CD" w:rsidRDefault="006442CD" w:rsidP="006442CD">
            <w:pPr>
              <w:jc w:val="right"/>
              <w:rPr>
                <w:rFonts w:ascii="Calibri" w:eastAsia="Times New Roman" w:hAnsi="Calibri" w:cs="Calibri"/>
                <w:color w:val="000000"/>
                <w:lang w:eastAsia="hr-HR"/>
              </w:rPr>
            </w:pPr>
            <w:r w:rsidRPr="006442CD">
              <w:rPr>
                <w:rFonts w:ascii="Calibri" w:eastAsia="Times New Roman" w:hAnsi="Calibri" w:cs="Calibri"/>
                <w:color w:val="000000"/>
                <w:lang w:eastAsia="hr-HR"/>
              </w:rPr>
              <w:t>0,00</w:t>
            </w:r>
          </w:p>
        </w:tc>
        <w:tc>
          <w:tcPr>
            <w:tcW w:w="1447" w:type="dxa"/>
            <w:tcBorders>
              <w:top w:val="nil"/>
              <w:left w:val="nil"/>
              <w:bottom w:val="nil"/>
              <w:right w:val="nil"/>
            </w:tcBorders>
            <w:shd w:val="clear" w:color="auto" w:fill="auto"/>
            <w:noWrap/>
            <w:vAlign w:val="bottom"/>
            <w:hideMark/>
          </w:tcPr>
          <w:p w:rsidR="006442CD" w:rsidRPr="006442CD" w:rsidRDefault="006442CD" w:rsidP="006442CD">
            <w:pPr>
              <w:jc w:val="right"/>
              <w:rPr>
                <w:rFonts w:ascii="Calibri" w:eastAsia="Times New Roman" w:hAnsi="Calibri" w:cs="Calibri"/>
                <w:color w:val="000000"/>
                <w:lang w:eastAsia="hr-HR"/>
              </w:rPr>
            </w:pPr>
            <w:r w:rsidRPr="006442CD">
              <w:rPr>
                <w:rFonts w:ascii="Calibri" w:eastAsia="Times New Roman" w:hAnsi="Calibri" w:cs="Calibri"/>
                <w:color w:val="000000"/>
                <w:lang w:eastAsia="hr-HR"/>
              </w:rPr>
              <w:t>1.350,00</w:t>
            </w:r>
          </w:p>
        </w:tc>
      </w:tr>
      <w:tr w:rsidR="006442CD" w:rsidRPr="006442CD" w:rsidTr="006442CD">
        <w:trPr>
          <w:trHeight w:val="300"/>
        </w:trPr>
        <w:tc>
          <w:tcPr>
            <w:tcW w:w="528" w:type="dxa"/>
            <w:tcBorders>
              <w:top w:val="nil"/>
              <w:left w:val="nil"/>
              <w:bottom w:val="nil"/>
              <w:right w:val="nil"/>
            </w:tcBorders>
            <w:shd w:val="clear" w:color="auto" w:fill="auto"/>
            <w:noWrap/>
            <w:vAlign w:val="bottom"/>
            <w:hideMark/>
          </w:tcPr>
          <w:p w:rsidR="006442CD" w:rsidRPr="006442CD" w:rsidRDefault="006442CD" w:rsidP="006442CD">
            <w:pPr>
              <w:jc w:val="right"/>
              <w:rPr>
                <w:rFonts w:ascii="Calibri" w:eastAsia="Times New Roman" w:hAnsi="Calibri" w:cs="Calibri"/>
                <w:color w:val="000000"/>
                <w:lang w:eastAsia="hr-HR"/>
              </w:rPr>
            </w:pPr>
            <w:r w:rsidRPr="006442CD">
              <w:rPr>
                <w:rFonts w:ascii="Calibri" w:eastAsia="Times New Roman" w:hAnsi="Calibri" w:cs="Calibri"/>
                <w:color w:val="000000"/>
                <w:lang w:eastAsia="hr-HR"/>
              </w:rPr>
              <w:t>9</w:t>
            </w:r>
          </w:p>
        </w:tc>
        <w:tc>
          <w:tcPr>
            <w:tcW w:w="960" w:type="dxa"/>
            <w:tcBorders>
              <w:top w:val="nil"/>
              <w:left w:val="nil"/>
              <w:bottom w:val="nil"/>
              <w:right w:val="nil"/>
            </w:tcBorders>
            <w:shd w:val="clear" w:color="auto" w:fill="auto"/>
            <w:noWrap/>
            <w:vAlign w:val="bottom"/>
            <w:hideMark/>
          </w:tcPr>
          <w:p w:rsidR="006442CD" w:rsidRPr="006442CD" w:rsidRDefault="006442CD" w:rsidP="006442CD">
            <w:pPr>
              <w:rPr>
                <w:rFonts w:ascii="Calibri" w:eastAsia="Times New Roman" w:hAnsi="Calibri" w:cs="Calibri"/>
                <w:color w:val="000000"/>
                <w:lang w:eastAsia="hr-HR"/>
              </w:rPr>
            </w:pPr>
            <w:r w:rsidRPr="006442CD">
              <w:rPr>
                <w:rFonts w:ascii="Calibri" w:eastAsia="Times New Roman" w:hAnsi="Calibri" w:cs="Calibri"/>
                <w:color w:val="000000"/>
                <w:lang w:eastAsia="hr-HR"/>
              </w:rPr>
              <w:t>0182</w:t>
            </w:r>
          </w:p>
        </w:tc>
        <w:tc>
          <w:tcPr>
            <w:tcW w:w="3280" w:type="dxa"/>
            <w:tcBorders>
              <w:top w:val="nil"/>
              <w:left w:val="nil"/>
              <w:bottom w:val="nil"/>
              <w:right w:val="nil"/>
            </w:tcBorders>
            <w:shd w:val="clear" w:color="auto" w:fill="auto"/>
            <w:noWrap/>
            <w:vAlign w:val="bottom"/>
            <w:hideMark/>
          </w:tcPr>
          <w:p w:rsidR="006442CD" w:rsidRPr="006442CD" w:rsidRDefault="006442CD" w:rsidP="006442CD">
            <w:pPr>
              <w:rPr>
                <w:rFonts w:ascii="Calibri" w:eastAsia="Times New Roman" w:hAnsi="Calibri" w:cs="Calibri"/>
                <w:color w:val="000000"/>
                <w:lang w:eastAsia="hr-HR"/>
              </w:rPr>
            </w:pPr>
            <w:r w:rsidRPr="006442CD">
              <w:rPr>
                <w:rFonts w:ascii="Calibri" w:eastAsia="Times New Roman" w:hAnsi="Calibri" w:cs="Calibri"/>
                <w:color w:val="000000"/>
                <w:lang w:eastAsia="hr-HR"/>
              </w:rPr>
              <w:t>SNJEŽANA NOVA D.O.O.</w:t>
            </w:r>
          </w:p>
        </w:tc>
        <w:tc>
          <w:tcPr>
            <w:tcW w:w="1440" w:type="dxa"/>
            <w:tcBorders>
              <w:top w:val="nil"/>
              <w:left w:val="nil"/>
              <w:bottom w:val="nil"/>
              <w:right w:val="nil"/>
            </w:tcBorders>
            <w:shd w:val="clear" w:color="auto" w:fill="auto"/>
            <w:noWrap/>
            <w:vAlign w:val="bottom"/>
            <w:hideMark/>
          </w:tcPr>
          <w:p w:rsidR="006442CD" w:rsidRPr="006442CD" w:rsidRDefault="006442CD" w:rsidP="006442CD">
            <w:pPr>
              <w:jc w:val="right"/>
              <w:rPr>
                <w:rFonts w:ascii="Calibri" w:eastAsia="Times New Roman" w:hAnsi="Calibri" w:cs="Calibri"/>
                <w:color w:val="000000"/>
                <w:lang w:eastAsia="hr-HR"/>
              </w:rPr>
            </w:pPr>
            <w:r w:rsidRPr="006442CD">
              <w:rPr>
                <w:rFonts w:ascii="Calibri" w:eastAsia="Times New Roman" w:hAnsi="Calibri" w:cs="Calibri"/>
                <w:color w:val="000000"/>
                <w:lang w:eastAsia="hr-HR"/>
              </w:rPr>
              <w:t>0,00</w:t>
            </w:r>
          </w:p>
        </w:tc>
        <w:tc>
          <w:tcPr>
            <w:tcW w:w="1447" w:type="dxa"/>
            <w:tcBorders>
              <w:top w:val="nil"/>
              <w:left w:val="nil"/>
              <w:bottom w:val="nil"/>
              <w:right w:val="nil"/>
            </w:tcBorders>
            <w:shd w:val="clear" w:color="auto" w:fill="auto"/>
            <w:noWrap/>
            <w:vAlign w:val="bottom"/>
            <w:hideMark/>
          </w:tcPr>
          <w:p w:rsidR="006442CD" w:rsidRPr="006442CD" w:rsidRDefault="006442CD" w:rsidP="006442CD">
            <w:pPr>
              <w:jc w:val="right"/>
              <w:rPr>
                <w:rFonts w:ascii="Calibri" w:eastAsia="Times New Roman" w:hAnsi="Calibri" w:cs="Calibri"/>
                <w:color w:val="000000"/>
                <w:lang w:eastAsia="hr-HR"/>
              </w:rPr>
            </w:pPr>
            <w:r w:rsidRPr="006442CD">
              <w:rPr>
                <w:rFonts w:ascii="Calibri" w:eastAsia="Times New Roman" w:hAnsi="Calibri" w:cs="Calibri"/>
                <w:color w:val="000000"/>
                <w:lang w:eastAsia="hr-HR"/>
              </w:rPr>
              <w:t>950,00</w:t>
            </w:r>
          </w:p>
        </w:tc>
      </w:tr>
      <w:tr w:rsidR="006442CD" w:rsidRPr="006442CD" w:rsidTr="006442CD">
        <w:trPr>
          <w:trHeight w:val="300"/>
        </w:trPr>
        <w:tc>
          <w:tcPr>
            <w:tcW w:w="528" w:type="dxa"/>
            <w:tcBorders>
              <w:top w:val="nil"/>
              <w:left w:val="nil"/>
              <w:bottom w:val="nil"/>
              <w:right w:val="nil"/>
            </w:tcBorders>
            <w:shd w:val="clear" w:color="auto" w:fill="auto"/>
            <w:noWrap/>
            <w:vAlign w:val="bottom"/>
            <w:hideMark/>
          </w:tcPr>
          <w:p w:rsidR="006442CD" w:rsidRPr="006442CD" w:rsidRDefault="006442CD" w:rsidP="006442CD">
            <w:pPr>
              <w:jc w:val="right"/>
              <w:rPr>
                <w:rFonts w:ascii="Calibri" w:eastAsia="Times New Roman" w:hAnsi="Calibri" w:cs="Calibri"/>
                <w:color w:val="000000"/>
                <w:lang w:eastAsia="hr-HR"/>
              </w:rPr>
            </w:pPr>
            <w:r w:rsidRPr="006442CD">
              <w:rPr>
                <w:rFonts w:ascii="Calibri" w:eastAsia="Times New Roman" w:hAnsi="Calibri" w:cs="Calibri"/>
                <w:color w:val="000000"/>
                <w:lang w:eastAsia="hr-HR"/>
              </w:rPr>
              <w:t>10</w:t>
            </w:r>
          </w:p>
        </w:tc>
        <w:tc>
          <w:tcPr>
            <w:tcW w:w="960" w:type="dxa"/>
            <w:tcBorders>
              <w:top w:val="nil"/>
              <w:left w:val="nil"/>
              <w:bottom w:val="nil"/>
              <w:right w:val="nil"/>
            </w:tcBorders>
            <w:shd w:val="clear" w:color="auto" w:fill="auto"/>
            <w:noWrap/>
            <w:vAlign w:val="bottom"/>
            <w:hideMark/>
          </w:tcPr>
          <w:p w:rsidR="006442CD" w:rsidRPr="006442CD" w:rsidRDefault="006442CD" w:rsidP="006442CD">
            <w:pPr>
              <w:rPr>
                <w:rFonts w:ascii="Calibri" w:eastAsia="Times New Roman" w:hAnsi="Calibri" w:cs="Calibri"/>
                <w:color w:val="000000"/>
                <w:lang w:eastAsia="hr-HR"/>
              </w:rPr>
            </w:pPr>
            <w:r w:rsidRPr="006442CD">
              <w:rPr>
                <w:rFonts w:ascii="Calibri" w:eastAsia="Times New Roman" w:hAnsi="Calibri" w:cs="Calibri"/>
                <w:color w:val="000000"/>
                <w:lang w:eastAsia="hr-HR"/>
              </w:rPr>
              <w:t>0030</w:t>
            </w:r>
          </w:p>
        </w:tc>
        <w:tc>
          <w:tcPr>
            <w:tcW w:w="3280" w:type="dxa"/>
            <w:tcBorders>
              <w:top w:val="nil"/>
              <w:left w:val="nil"/>
              <w:bottom w:val="nil"/>
              <w:right w:val="nil"/>
            </w:tcBorders>
            <w:shd w:val="clear" w:color="auto" w:fill="auto"/>
            <w:noWrap/>
            <w:vAlign w:val="bottom"/>
            <w:hideMark/>
          </w:tcPr>
          <w:p w:rsidR="006442CD" w:rsidRPr="006442CD" w:rsidRDefault="006442CD" w:rsidP="006442CD">
            <w:pPr>
              <w:rPr>
                <w:rFonts w:ascii="Calibri" w:eastAsia="Times New Roman" w:hAnsi="Calibri" w:cs="Calibri"/>
                <w:color w:val="000000"/>
                <w:lang w:eastAsia="hr-HR"/>
              </w:rPr>
            </w:pPr>
            <w:r w:rsidRPr="006442CD">
              <w:rPr>
                <w:rFonts w:ascii="Calibri" w:eastAsia="Times New Roman" w:hAnsi="Calibri" w:cs="Calibri"/>
                <w:color w:val="000000"/>
                <w:lang w:eastAsia="hr-HR"/>
              </w:rPr>
              <w:t>MUP RH-PU Zagrebačka</w:t>
            </w:r>
          </w:p>
        </w:tc>
        <w:tc>
          <w:tcPr>
            <w:tcW w:w="1440" w:type="dxa"/>
            <w:tcBorders>
              <w:top w:val="nil"/>
              <w:left w:val="nil"/>
              <w:bottom w:val="nil"/>
              <w:right w:val="nil"/>
            </w:tcBorders>
            <w:shd w:val="clear" w:color="auto" w:fill="auto"/>
            <w:noWrap/>
            <w:vAlign w:val="bottom"/>
            <w:hideMark/>
          </w:tcPr>
          <w:p w:rsidR="006442CD" w:rsidRPr="006442CD" w:rsidRDefault="006442CD" w:rsidP="006442CD">
            <w:pPr>
              <w:jc w:val="right"/>
              <w:rPr>
                <w:rFonts w:ascii="Calibri" w:eastAsia="Times New Roman" w:hAnsi="Calibri" w:cs="Calibri"/>
                <w:color w:val="000000"/>
                <w:lang w:eastAsia="hr-HR"/>
              </w:rPr>
            </w:pPr>
            <w:r w:rsidRPr="006442CD">
              <w:rPr>
                <w:rFonts w:ascii="Calibri" w:eastAsia="Times New Roman" w:hAnsi="Calibri" w:cs="Calibri"/>
                <w:color w:val="000000"/>
                <w:lang w:eastAsia="hr-HR"/>
              </w:rPr>
              <w:t>791,51</w:t>
            </w:r>
          </w:p>
        </w:tc>
        <w:tc>
          <w:tcPr>
            <w:tcW w:w="1447" w:type="dxa"/>
            <w:tcBorders>
              <w:top w:val="nil"/>
              <w:left w:val="nil"/>
              <w:bottom w:val="nil"/>
              <w:right w:val="nil"/>
            </w:tcBorders>
            <w:shd w:val="clear" w:color="auto" w:fill="auto"/>
            <w:noWrap/>
            <w:vAlign w:val="bottom"/>
            <w:hideMark/>
          </w:tcPr>
          <w:p w:rsidR="006442CD" w:rsidRPr="006442CD" w:rsidRDefault="006442CD" w:rsidP="006442CD">
            <w:pPr>
              <w:jc w:val="right"/>
              <w:rPr>
                <w:rFonts w:ascii="Calibri" w:eastAsia="Times New Roman" w:hAnsi="Calibri" w:cs="Calibri"/>
                <w:color w:val="000000"/>
                <w:lang w:eastAsia="hr-HR"/>
              </w:rPr>
            </w:pPr>
            <w:r w:rsidRPr="006442CD">
              <w:rPr>
                <w:rFonts w:ascii="Calibri" w:eastAsia="Times New Roman" w:hAnsi="Calibri" w:cs="Calibri"/>
                <w:color w:val="000000"/>
                <w:lang w:eastAsia="hr-HR"/>
              </w:rPr>
              <w:t>841,28</w:t>
            </w:r>
          </w:p>
        </w:tc>
      </w:tr>
      <w:tr w:rsidR="006442CD" w:rsidRPr="006442CD" w:rsidTr="006442CD">
        <w:trPr>
          <w:trHeight w:val="300"/>
        </w:trPr>
        <w:tc>
          <w:tcPr>
            <w:tcW w:w="528" w:type="dxa"/>
            <w:tcBorders>
              <w:top w:val="nil"/>
              <w:left w:val="nil"/>
              <w:bottom w:val="nil"/>
              <w:right w:val="nil"/>
            </w:tcBorders>
            <w:shd w:val="clear" w:color="auto" w:fill="auto"/>
            <w:noWrap/>
            <w:vAlign w:val="bottom"/>
            <w:hideMark/>
          </w:tcPr>
          <w:p w:rsidR="006442CD" w:rsidRPr="006442CD" w:rsidRDefault="006442CD" w:rsidP="006442CD">
            <w:pPr>
              <w:jc w:val="right"/>
              <w:rPr>
                <w:rFonts w:ascii="Calibri" w:eastAsia="Times New Roman" w:hAnsi="Calibri" w:cs="Calibri"/>
                <w:color w:val="000000"/>
                <w:lang w:eastAsia="hr-HR"/>
              </w:rPr>
            </w:pPr>
          </w:p>
        </w:tc>
        <w:tc>
          <w:tcPr>
            <w:tcW w:w="960" w:type="dxa"/>
            <w:tcBorders>
              <w:top w:val="nil"/>
              <w:left w:val="nil"/>
              <w:bottom w:val="nil"/>
              <w:right w:val="nil"/>
            </w:tcBorders>
            <w:shd w:val="clear" w:color="auto" w:fill="auto"/>
            <w:noWrap/>
            <w:vAlign w:val="bottom"/>
            <w:hideMark/>
          </w:tcPr>
          <w:p w:rsidR="006442CD" w:rsidRPr="006442CD" w:rsidRDefault="006442CD" w:rsidP="006442CD">
            <w:pPr>
              <w:rPr>
                <w:rFonts w:ascii="Times New Roman" w:eastAsia="Times New Roman" w:hAnsi="Times New Roman" w:cs="Times New Roman"/>
                <w:sz w:val="20"/>
                <w:szCs w:val="20"/>
                <w:lang w:eastAsia="hr-HR"/>
              </w:rPr>
            </w:pPr>
          </w:p>
        </w:tc>
        <w:tc>
          <w:tcPr>
            <w:tcW w:w="3280" w:type="dxa"/>
            <w:tcBorders>
              <w:top w:val="nil"/>
              <w:left w:val="nil"/>
              <w:bottom w:val="nil"/>
              <w:right w:val="nil"/>
            </w:tcBorders>
            <w:shd w:val="clear" w:color="auto" w:fill="auto"/>
            <w:noWrap/>
            <w:vAlign w:val="bottom"/>
            <w:hideMark/>
          </w:tcPr>
          <w:p w:rsidR="006442CD" w:rsidRPr="006442CD" w:rsidRDefault="006442CD" w:rsidP="006442CD">
            <w:pPr>
              <w:rPr>
                <w:rFonts w:ascii="Calibri" w:eastAsia="Times New Roman" w:hAnsi="Calibri" w:cs="Calibri"/>
                <w:color w:val="000000"/>
                <w:lang w:eastAsia="hr-HR"/>
              </w:rPr>
            </w:pPr>
            <w:r w:rsidRPr="006442CD">
              <w:rPr>
                <w:rFonts w:ascii="Calibri" w:eastAsia="Times New Roman" w:hAnsi="Calibri" w:cs="Calibri"/>
                <w:color w:val="000000"/>
                <w:lang w:eastAsia="hr-HR"/>
              </w:rPr>
              <w:t>Ostali</w:t>
            </w:r>
          </w:p>
        </w:tc>
        <w:tc>
          <w:tcPr>
            <w:tcW w:w="1440" w:type="dxa"/>
            <w:tcBorders>
              <w:top w:val="nil"/>
              <w:left w:val="nil"/>
              <w:bottom w:val="nil"/>
              <w:right w:val="nil"/>
            </w:tcBorders>
            <w:shd w:val="clear" w:color="auto" w:fill="auto"/>
            <w:noWrap/>
            <w:vAlign w:val="bottom"/>
            <w:hideMark/>
          </w:tcPr>
          <w:p w:rsidR="006442CD" w:rsidRPr="006442CD" w:rsidRDefault="006442CD" w:rsidP="006442CD">
            <w:pPr>
              <w:rPr>
                <w:rFonts w:ascii="Calibri" w:eastAsia="Times New Roman" w:hAnsi="Calibri" w:cs="Calibri"/>
                <w:color w:val="000000"/>
                <w:lang w:eastAsia="hr-HR"/>
              </w:rPr>
            </w:pPr>
          </w:p>
        </w:tc>
        <w:tc>
          <w:tcPr>
            <w:tcW w:w="1447" w:type="dxa"/>
            <w:tcBorders>
              <w:top w:val="nil"/>
              <w:left w:val="nil"/>
              <w:bottom w:val="nil"/>
              <w:right w:val="nil"/>
            </w:tcBorders>
            <w:shd w:val="clear" w:color="auto" w:fill="auto"/>
            <w:noWrap/>
            <w:vAlign w:val="bottom"/>
            <w:hideMark/>
          </w:tcPr>
          <w:p w:rsidR="006442CD" w:rsidRPr="006442CD" w:rsidRDefault="006442CD" w:rsidP="006442CD">
            <w:pPr>
              <w:jc w:val="right"/>
              <w:rPr>
                <w:rFonts w:ascii="Calibri" w:eastAsia="Times New Roman" w:hAnsi="Calibri" w:cs="Calibri"/>
                <w:color w:val="000000"/>
                <w:lang w:eastAsia="hr-HR"/>
              </w:rPr>
            </w:pPr>
            <w:r w:rsidRPr="006442CD">
              <w:rPr>
                <w:rFonts w:ascii="Calibri" w:eastAsia="Times New Roman" w:hAnsi="Calibri" w:cs="Calibri"/>
                <w:color w:val="000000"/>
                <w:lang w:eastAsia="hr-HR"/>
              </w:rPr>
              <w:t>5.906,39</w:t>
            </w:r>
          </w:p>
        </w:tc>
      </w:tr>
      <w:tr w:rsidR="006442CD" w:rsidRPr="006442CD" w:rsidTr="006442CD">
        <w:trPr>
          <w:trHeight w:val="300"/>
        </w:trPr>
        <w:tc>
          <w:tcPr>
            <w:tcW w:w="528" w:type="dxa"/>
            <w:tcBorders>
              <w:top w:val="nil"/>
              <w:left w:val="nil"/>
              <w:bottom w:val="nil"/>
              <w:right w:val="nil"/>
            </w:tcBorders>
            <w:shd w:val="clear" w:color="auto" w:fill="auto"/>
            <w:noWrap/>
            <w:vAlign w:val="bottom"/>
            <w:hideMark/>
          </w:tcPr>
          <w:p w:rsidR="006442CD" w:rsidRPr="006442CD" w:rsidRDefault="006442CD" w:rsidP="006442CD">
            <w:pPr>
              <w:jc w:val="right"/>
              <w:rPr>
                <w:rFonts w:ascii="Calibri" w:eastAsia="Times New Roman" w:hAnsi="Calibri" w:cs="Calibri"/>
                <w:color w:val="000000"/>
                <w:lang w:eastAsia="hr-HR"/>
              </w:rPr>
            </w:pPr>
          </w:p>
        </w:tc>
        <w:tc>
          <w:tcPr>
            <w:tcW w:w="960" w:type="dxa"/>
            <w:tcBorders>
              <w:top w:val="nil"/>
              <w:left w:val="nil"/>
              <w:bottom w:val="nil"/>
              <w:right w:val="nil"/>
            </w:tcBorders>
            <w:shd w:val="clear" w:color="auto" w:fill="auto"/>
            <w:noWrap/>
            <w:vAlign w:val="bottom"/>
            <w:hideMark/>
          </w:tcPr>
          <w:p w:rsidR="006442CD" w:rsidRPr="006442CD" w:rsidRDefault="006442CD" w:rsidP="006442CD">
            <w:pPr>
              <w:rPr>
                <w:rFonts w:ascii="Times New Roman" w:eastAsia="Times New Roman" w:hAnsi="Times New Roman" w:cs="Times New Roman"/>
                <w:sz w:val="20"/>
                <w:szCs w:val="20"/>
                <w:lang w:eastAsia="hr-HR"/>
              </w:rPr>
            </w:pPr>
          </w:p>
        </w:tc>
        <w:tc>
          <w:tcPr>
            <w:tcW w:w="3280" w:type="dxa"/>
            <w:tcBorders>
              <w:top w:val="nil"/>
              <w:left w:val="nil"/>
              <w:bottom w:val="nil"/>
              <w:right w:val="nil"/>
            </w:tcBorders>
            <w:shd w:val="clear" w:color="auto" w:fill="auto"/>
            <w:noWrap/>
            <w:vAlign w:val="bottom"/>
            <w:hideMark/>
          </w:tcPr>
          <w:p w:rsidR="006442CD" w:rsidRPr="006442CD" w:rsidRDefault="006442CD" w:rsidP="006442CD">
            <w:pPr>
              <w:rPr>
                <w:rFonts w:ascii="Calibri" w:eastAsia="Times New Roman" w:hAnsi="Calibri" w:cs="Calibri"/>
                <w:color w:val="000000"/>
                <w:lang w:eastAsia="hr-HR"/>
              </w:rPr>
            </w:pPr>
            <w:r w:rsidRPr="006442CD">
              <w:rPr>
                <w:rFonts w:ascii="Calibri" w:eastAsia="Times New Roman" w:hAnsi="Calibri" w:cs="Calibri"/>
                <w:color w:val="000000"/>
                <w:lang w:eastAsia="hr-HR"/>
              </w:rPr>
              <w:t>Ukupno</w:t>
            </w:r>
          </w:p>
        </w:tc>
        <w:tc>
          <w:tcPr>
            <w:tcW w:w="1440" w:type="dxa"/>
            <w:tcBorders>
              <w:top w:val="nil"/>
              <w:left w:val="nil"/>
              <w:bottom w:val="nil"/>
              <w:right w:val="nil"/>
            </w:tcBorders>
            <w:shd w:val="clear" w:color="auto" w:fill="auto"/>
            <w:noWrap/>
            <w:vAlign w:val="bottom"/>
            <w:hideMark/>
          </w:tcPr>
          <w:p w:rsidR="006442CD" w:rsidRPr="006442CD" w:rsidRDefault="006442CD" w:rsidP="006442CD">
            <w:pPr>
              <w:rPr>
                <w:rFonts w:ascii="Calibri" w:eastAsia="Times New Roman" w:hAnsi="Calibri" w:cs="Calibri"/>
                <w:color w:val="000000"/>
                <w:lang w:eastAsia="hr-HR"/>
              </w:rPr>
            </w:pPr>
          </w:p>
        </w:tc>
        <w:tc>
          <w:tcPr>
            <w:tcW w:w="1447" w:type="dxa"/>
            <w:tcBorders>
              <w:top w:val="nil"/>
              <w:left w:val="nil"/>
              <w:bottom w:val="nil"/>
              <w:right w:val="nil"/>
            </w:tcBorders>
            <w:shd w:val="clear" w:color="auto" w:fill="auto"/>
            <w:noWrap/>
            <w:vAlign w:val="bottom"/>
            <w:hideMark/>
          </w:tcPr>
          <w:p w:rsidR="006442CD" w:rsidRPr="006442CD" w:rsidRDefault="006442CD" w:rsidP="006442CD">
            <w:pPr>
              <w:jc w:val="right"/>
              <w:rPr>
                <w:rFonts w:ascii="Calibri" w:eastAsia="Times New Roman" w:hAnsi="Calibri" w:cs="Calibri"/>
                <w:color w:val="000000"/>
                <w:lang w:eastAsia="hr-HR"/>
              </w:rPr>
            </w:pPr>
            <w:r w:rsidRPr="006442CD">
              <w:rPr>
                <w:rFonts w:ascii="Calibri" w:eastAsia="Times New Roman" w:hAnsi="Calibri" w:cs="Calibri"/>
                <w:color w:val="000000"/>
                <w:lang w:eastAsia="hr-HR"/>
              </w:rPr>
              <w:t>60.211,72</w:t>
            </w:r>
          </w:p>
        </w:tc>
      </w:tr>
    </w:tbl>
    <w:p w:rsidR="006442CD" w:rsidRPr="00743BEA" w:rsidRDefault="006442CD" w:rsidP="005D1654"/>
    <w:p w:rsidR="005D1654" w:rsidRDefault="005D1654" w:rsidP="00DA4BE3">
      <w:pPr>
        <w:jc w:val="both"/>
      </w:pPr>
      <w:r w:rsidRPr="00743BEA">
        <w:t xml:space="preserve">Nedospjele obveze </w:t>
      </w:r>
      <w:r w:rsidR="00641C3D" w:rsidRPr="00743BEA">
        <w:t>o</w:t>
      </w:r>
      <w:r w:rsidRPr="00743BEA">
        <w:t xml:space="preserve">dnose se na obveze po dugoročnom kreditu </w:t>
      </w:r>
      <w:r w:rsidR="00641C3D" w:rsidRPr="00743BEA">
        <w:t xml:space="preserve">iz 2022. </w:t>
      </w:r>
      <w:r w:rsidRPr="00743BEA">
        <w:t>za nabavu sanitetskih vozila</w:t>
      </w:r>
      <w:r w:rsidR="00641C3D" w:rsidRPr="00743BEA">
        <w:t xml:space="preserve"> u iznosu 3.175.293,65</w:t>
      </w:r>
      <w:r w:rsidRPr="00743BEA">
        <w:t>, obveze za obr</w:t>
      </w:r>
      <w:r w:rsidR="00641C3D" w:rsidRPr="00743BEA">
        <w:t>ačunatu plaću za 12. mjesec 2023</w:t>
      </w:r>
      <w:r w:rsidRPr="00743BEA">
        <w:t>. godine, isplaćenu 1</w:t>
      </w:r>
      <w:r w:rsidR="00641C3D" w:rsidRPr="00743BEA">
        <w:t xml:space="preserve">5. siječnja </w:t>
      </w:r>
      <w:r w:rsidR="00641C3D" w:rsidRPr="00743BEA">
        <w:lastRenderedPageBreak/>
        <w:t>2024</w:t>
      </w:r>
      <w:r w:rsidRPr="00743BEA">
        <w:t xml:space="preserve">. godine u iznosu </w:t>
      </w:r>
      <w:r w:rsidR="00743BEA" w:rsidRPr="00743BEA">
        <w:t>1.235.430,68 (COP rekapitulacija obračuna)</w:t>
      </w:r>
      <w:r w:rsidRPr="00743BEA">
        <w:t xml:space="preserve">, obveze prema dobavljačima u iznosu od </w:t>
      </w:r>
      <w:r w:rsidR="00743BEA" w:rsidRPr="00743BEA">
        <w:t xml:space="preserve"> 429.464,97 eur te</w:t>
      </w:r>
      <w:r w:rsidRPr="00743BEA">
        <w:t xml:space="preserve"> </w:t>
      </w:r>
      <w:r w:rsidR="00BB2138">
        <w:t xml:space="preserve">ostalo za </w:t>
      </w:r>
      <w:r w:rsidRPr="00743BEA">
        <w:t>ostale nespomenute obveze (PD</w:t>
      </w:r>
      <w:r w:rsidR="00743BEA" w:rsidRPr="00743BEA">
        <w:t>V, predujmove, jamčevine i sl.).</w:t>
      </w:r>
    </w:p>
    <w:p w:rsidR="00A10535" w:rsidRDefault="00A10535" w:rsidP="00DA4BE3">
      <w:pPr>
        <w:jc w:val="both"/>
      </w:pPr>
    </w:p>
    <w:sectPr w:rsidR="00A1053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A93" w:rsidRDefault="00186A93" w:rsidP="00B00F84">
      <w:r>
        <w:separator/>
      </w:r>
    </w:p>
  </w:endnote>
  <w:endnote w:type="continuationSeparator" w:id="0">
    <w:p w:rsidR="00186A93" w:rsidRDefault="00186A93" w:rsidP="00B00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221502"/>
      <w:docPartObj>
        <w:docPartGallery w:val="Page Numbers (Bottom of Page)"/>
        <w:docPartUnique/>
      </w:docPartObj>
    </w:sdtPr>
    <w:sdtEndPr/>
    <w:sdtContent>
      <w:p w:rsidR="005E58FC" w:rsidRDefault="005E58FC">
        <w:pPr>
          <w:pStyle w:val="Podnoje"/>
          <w:jc w:val="right"/>
        </w:pPr>
        <w:r>
          <w:fldChar w:fldCharType="begin"/>
        </w:r>
        <w:r>
          <w:instrText>PAGE   \* MERGEFORMAT</w:instrText>
        </w:r>
        <w:r>
          <w:fldChar w:fldCharType="separate"/>
        </w:r>
        <w:r w:rsidR="00AC0BD4">
          <w:rPr>
            <w:noProof/>
          </w:rPr>
          <w:t>1</w:t>
        </w:r>
        <w:r>
          <w:fldChar w:fldCharType="end"/>
        </w:r>
        <w:r>
          <w:t>/</w:t>
        </w:r>
        <w:r w:rsidR="00186A93">
          <w:fldChar w:fldCharType="begin"/>
        </w:r>
        <w:r w:rsidR="00186A93">
          <w:instrText xml:space="preserve"> NUMPAGES   \* MERGEFORMAT </w:instrText>
        </w:r>
        <w:r w:rsidR="00186A93">
          <w:fldChar w:fldCharType="separate"/>
        </w:r>
        <w:r w:rsidR="00AC0BD4">
          <w:rPr>
            <w:noProof/>
          </w:rPr>
          <w:t>1</w:t>
        </w:r>
        <w:r w:rsidR="00186A93">
          <w:rPr>
            <w:noProof/>
          </w:rPr>
          <w:fldChar w:fldCharType="end"/>
        </w:r>
      </w:p>
    </w:sdtContent>
  </w:sdt>
  <w:p w:rsidR="005E58FC" w:rsidRDefault="005E58F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A93" w:rsidRDefault="00186A93" w:rsidP="00B00F84">
      <w:r>
        <w:separator/>
      </w:r>
    </w:p>
  </w:footnote>
  <w:footnote w:type="continuationSeparator" w:id="0">
    <w:p w:rsidR="00186A93" w:rsidRDefault="00186A93" w:rsidP="00B00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0331"/>
    <w:multiLevelType w:val="hybridMultilevel"/>
    <w:tmpl w:val="EFCE44C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4340A2"/>
    <w:multiLevelType w:val="hybridMultilevel"/>
    <w:tmpl w:val="513CDE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5F773E"/>
    <w:multiLevelType w:val="hybridMultilevel"/>
    <w:tmpl w:val="9C9EDD0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08497D38"/>
    <w:multiLevelType w:val="hybridMultilevel"/>
    <w:tmpl w:val="E16CA68E"/>
    <w:lvl w:ilvl="0" w:tplc="C6C0369A">
      <w:start w:val="1"/>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D970C6B"/>
    <w:multiLevelType w:val="hybridMultilevel"/>
    <w:tmpl w:val="9F76165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DF77F9A"/>
    <w:multiLevelType w:val="hybridMultilevel"/>
    <w:tmpl w:val="F112DB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FEF6999"/>
    <w:multiLevelType w:val="hybridMultilevel"/>
    <w:tmpl w:val="BF86E7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4FD7083"/>
    <w:multiLevelType w:val="hybridMultilevel"/>
    <w:tmpl w:val="66042040"/>
    <w:lvl w:ilvl="0" w:tplc="C6C0369A">
      <w:start w:val="1"/>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897E30"/>
    <w:multiLevelType w:val="hybridMultilevel"/>
    <w:tmpl w:val="0D3AE4D6"/>
    <w:lvl w:ilvl="0" w:tplc="C6C0369A">
      <w:start w:val="1"/>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F455E1B"/>
    <w:multiLevelType w:val="hybridMultilevel"/>
    <w:tmpl w:val="CAC450AA"/>
    <w:lvl w:ilvl="0" w:tplc="C6C0369A">
      <w:start w:val="1"/>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2F13903"/>
    <w:multiLevelType w:val="hybridMultilevel"/>
    <w:tmpl w:val="33C208AE"/>
    <w:lvl w:ilvl="0" w:tplc="C6C0369A">
      <w:start w:val="1"/>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63FB6038"/>
    <w:multiLevelType w:val="hybridMultilevel"/>
    <w:tmpl w:val="04D000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BA568E6"/>
    <w:multiLevelType w:val="hybridMultilevel"/>
    <w:tmpl w:val="3796D0B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7F89731A"/>
    <w:multiLevelType w:val="hybridMultilevel"/>
    <w:tmpl w:val="DC3EE0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6"/>
  </w:num>
  <w:num w:numId="6">
    <w:abstractNumId w:val="13"/>
  </w:num>
  <w:num w:numId="7">
    <w:abstractNumId w:val="12"/>
  </w:num>
  <w:num w:numId="8">
    <w:abstractNumId w:val="10"/>
  </w:num>
  <w:num w:numId="9">
    <w:abstractNumId w:val="9"/>
  </w:num>
  <w:num w:numId="10">
    <w:abstractNumId w:val="3"/>
  </w:num>
  <w:num w:numId="11">
    <w:abstractNumId w:val="8"/>
  </w:num>
  <w:num w:numId="12">
    <w:abstractNumId w:val="7"/>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E97"/>
    <w:rsid w:val="00006DDB"/>
    <w:rsid w:val="000111BC"/>
    <w:rsid w:val="000224C4"/>
    <w:rsid w:val="0002467C"/>
    <w:rsid w:val="000305F3"/>
    <w:rsid w:val="000446E7"/>
    <w:rsid w:val="000467BD"/>
    <w:rsid w:val="00053E97"/>
    <w:rsid w:val="00060EC5"/>
    <w:rsid w:val="00065A4F"/>
    <w:rsid w:val="000746A2"/>
    <w:rsid w:val="0008370C"/>
    <w:rsid w:val="000B1972"/>
    <w:rsid w:val="001148BF"/>
    <w:rsid w:val="00117AF7"/>
    <w:rsid w:val="00131002"/>
    <w:rsid w:val="00137145"/>
    <w:rsid w:val="00145EC7"/>
    <w:rsid w:val="00146D00"/>
    <w:rsid w:val="00146F61"/>
    <w:rsid w:val="00154C46"/>
    <w:rsid w:val="001568DC"/>
    <w:rsid w:val="0016346B"/>
    <w:rsid w:val="0016464A"/>
    <w:rsid w:val="00186926"/>
    <w:rsid w:val="00186A93"/>
    <w:rsid w:val="00187929"/>
    <w:rsid w:val="001919DA"/>
    <w:rsid w:val="001949FD"/>
    <w:rsid w:val="001C49A2"/>
    <w:rsid w:val="001E3687"/>
    <w:rsid w:val="001E5C3F"/>
    <w:rsid w:val="001F5B6B"/>
    <w:rsid w:val="0021451B"/>
    <w:rsid w:val="002219B9"/>
    <w:rsid w:val="002266A1"/>
    <w:rsid w:val="002348FB"/>
    <w:rsid w:val="00241383"/>
    <w:rsid w:val="002B5F0A"/>
    <w:rsid w:val="002E3A76"/>
    <w:rsid w:val="002F26BF"/>
    <w:rsid w:val="003163FE"/>
    <w:rsid w:val="00333764"/>
    <w:rsid w:val="003436D0"/>
    <w:rsid w:val="0036009C"/>
    <w:rsid w:val="003672AE"/>
    <w:rsid w:val="0037513C"/>
    <w:rsid w:val="003977E8"/>
    <w:rsid w:val="003A103D"/>
    <w:rsid w:val="003B0202"/>
    <w:rsid w:val="003D137A"/>
    <w:rsid w:val="003D1561"/>
    <w:rsid w:val="003D15A6"/>
    <w:rsid w:val="003D3AD4"/>
    <w:rsid w:val="003D584F"/>
    <w:rsid w:val="003F1AC3"/>
    <w:rsid w:val="004158ED"/>
    <w:rsid w:val="00422D3E"/>
    <w:rsid w:val="00446791"/>
    <w:rsid w:val="0048116C"/>
    <w:rsid w:val="004A41B6"/>
    <w:rsid w:val="004B7196"/>
    <w:rsid w:val="004C207A"/>
    <w:rsid w:val="004F097D"/>
    <w:rsid w:val="005070C5"/>
    <w:rsid w:val="00542690"/>
    <w:rsid w:val="00551397"/>
    <w:rsid w:val="00556355"/>
    <w:rsid w:val="0055690C"/>
    <w:rsid w:val="00576540"/>
    <w:rsid w:val="005959AF"/>
    <w:rsid w:val="00596EA2"/>
    <w:rsid w:val="005A3337"/>
    <w:rsid w:val="005A3A47"/>
    <w:rsid w:val="005C0611"/>
    <w:rsid w:val="005C21EA"/>
    <w:rsid w:val="005D1654"/>
    <w:rsid w:val="005E58FC"/>
    <w:rsid w:val="005F0DA6"/>
    <w:rsid w:val="00611DE0"/>
    <w:rsid w:val="00641C3D"/>
    <w:rsid w:val="006442CD"/>
    <w:rsid w:val="00664AB9"/>
    <w:rsid w:val="00682B86"/>
    <w:rsid w:val="006B7C77"/>
    <w:rsid w:val="006C0610"/>
    <w:rsid w:val="006C28DF"/>
    <w:rsid w:val="006F0A5E"/>
    <w:rsid w:val="00740653"/>
    <w:rsid w:val="007438CC"/>
    <w:rsid w:val="00743BEA"/>
    <w:rsid w:val="00745D8D"/>
    <w:rsid w:val="007668CF"/>
    <w:rsid w:val="00773544"/>
    <w:rsid w:val="007811F4"/>
    <w:rsid w:val="00784551"/>
    <w:rsid w:val="00786F48"/>
    <w:rsid w:val="00791E10"/>
    <w:rsid w:val="007A08B7"/>
    <w:rsid w:val="007A7988"/>
    <w:rsid w:val="007D2AE6"/>
    <w:rsid w:val="007E0864"/>
    <w:rsid w:val="007F6F76"/>
    <w:rsid w:val="00822E84"/>
    <w:rsid w:val="008231E2"/>
    <w:rsid w:val="00831C9F"/>
    <w:rsid w:val="00836671"/>
    <w:rsid w:val="00836E79"/>
    <w:rsid w:val="00877A08"/>
    <w:rsid w:val="008A745A"/>
    <w:rsid w:val="008C48EC"/>
    <w:rsid w:val="008D3485"/>
    <w:rsid w:val="00913DA8"/>
    <w:rsid w:val="00952878"/>
    <w:rsid w:val="00963A7F"/>
    <w:rsid w:val="009874E2"/>
    <w:rsid w:val="009A325A"/>
    <w:rsid w:val="009C4703"/>
    <w:rsid w:val="009C6A4B"/>
    <w:rsid w:val="009F2C08"/>
    <w:rsid w:val="009F48C4"/>
    <w:rsid w:val="009F760B"/>
    <w:rsid w:val="00A0297A"/>
    <w:rsid w:val="00A10535"/>
    <w:rsid w:val="00A11CE6"/>
    <w:rsid w:val="00A16242"/>
    <w:rsid w:val="00A56F57"/>
    <w:rsid w:val="00A656C9"/>
    <w:rsid w:val="00A6764B"/>
    <w:rsid w:val="00A9147A"/>
    <w:rsid w:val="00A95579"/>
    <w:rsid w:val="00AC0BD4"/>
    <w:rsid w:val="00AD1D0B"/>
    <w:rsid w:val="00B00F84"/>
    <w:rsid w:val="00B04B9B"/>
    <w:rsid w:val="00B17EC2"/>
    <w:rsid w:val="00B369AC"/>
    <w:rsid w:val="00B37310"/>
    <w:rsid w:val="00B40065"/>
    <w:rsid w:val="00B608A5"/>
    <w:rsid w:val="00B674B5"/>
    <w:rsid w:val="00B749D9"/>
    <w:rsid w:val="00B74C51"/>
    <w:rsid w:val="00B753C2"/>
    <w:rsid w:val="00B8095D"/>
    <w:rsid w:val="00B919DF"/>
    <w:rsid w:val="00BA34F9"/>
    <w:rsid w:val="00BB2138"/>
    <w:rsid w:val="00BB3C54"/>
    <w:rsid w:val="00BE338B"/>
    <w:rsid w:val="00C12971"/>
    <w:rsid w:val="00C236F6"/>
    <w:rsid w:val="00C43460"/>
    <w:rsid w:val="00C76623"/>
    <w:rsid w:val="00C9513C"/>
    <w:rsid w:val="00CC7ADB"/>
    <w:rsid w:val="00CE6ECE"/>
    <w:rsid w:val="00D1450A"/>
    <w:rsid w:val="00D256C9"/>
    <w:rsid w:val="00D4136F"/>
    <w:rsid w:val="00D41B77"/>
    <w:rsid w:val="00D559BE"/>
    <w:rsid w:val="00D7101D"/>
    <w:rsid w:val="00DA0E7B"/>
    <w:rsid w:val="00DA4BE3"/>
    <w:rsid w:val="00DA72F2"/>
    <w:rsid w:val="00DB67C8"/>
    <w:rsid w:val="00DC0B69"/>
    <w:rsid w:val="00DD0F2F"/>
    <w:rsid w:val="00DE4710"/>
    <w:rsid w:val="00DF02C1"/>
    <w:rsid w:val="00E04222"/>
    <w:rsid w:val="00E25351"/>
    <w:rsid w:val="00E40961"/>
    <w:rsid w:val="00E73E09"/>
    <w:rsid w:val="00E93863"/>
    <w:rsid w:val="00EA7302"/>
    <w:rsid w:val="00EB3B7F"/>
    <w:rsid w:val="00EB7837"/>
    <w:rsid w:val="00ED55F3"/>
    <w:rsid w:val="00EE1607"/>
    <w:rsid w:val="00EE3967"/>
    <w:rsid w:val="00EF76CF"/>
    <w:rsid w:val="00F0378E"/>
    <w:rsid w:val="00F10596"/>
    <w:rsid w:val="00F23319"/>
    <w:rsid w:val="00F34609"/>
    <w:rsid w:val="00F6391F"/>
    <w:rsid w:val="00F83833"/>
    <w:rsid w:val="00F846D9"/>
    <w:rsid w:val="00F93725"/>
    <w:rsid w:val="00FC1293"/>
    <w:rsid w:val="00FF7D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5A6E5-6D78-4FBF-8A54-F6A3C6593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B69"/>
    <w:pPr>
      <w:spacing w:after="0" w:line="240" w:lineRule="auto"/>
    </w:pPr>
  </w:style>
  <w:style w:type="paragraph" w:styleId="Naslov1">
    <w:name w:val="heading 1"/>
    <w:basedOn w:val="Normal"/>
    <w:next w:val="Normal"/>
    <w:link w:val="Naslov1Char"/>
    <w:uiPriority w:val="9"/>
    <w:qFormat/>
    <w:rsid w:val="0008370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08370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08370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8D3485"/>
    <w:rPr>
      <w:color w:val="0563C1" w:themeColor="hyperlink"/>
      <w:u w:val="single"/>
    </w:rPr>
  </w:style>
  <w:style w:type="character" w:customStyle="1" w:styleId="Naslov1Char">
    <w:name w:val="Naslov 1 Char"/>
    <w:basedOn w:val="Zadanifontodlomka"/>
    <w:link w:val="Naslov1"/>
    <w:uiPriority w:val="9"/>
    <w:rsid w:val="0008370C"/>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sid w:val="0008370C"/>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
    <w:rsid w:val="0008370C"/>
    <w:rPr>
      <w:rFonts w:asciiTheme="majorHAnsi" w:eastAsiaTheme="majorEastAsia" w:hAnsiTheme="majorHAnsi" w:cstheme="majorBidi"/>
      <w:color w:val="1F4D78" w:themeColor="accent1" w:themeShade="7F"/>
      <w:sz w:val="24"/>
      <w:szCs w:val="24"/>
    </w:rPr>
  </w:style>
  <w:style w:type="paragraph" w:styleId="Odlomakpopisa">
    <w:name w:val="List Paragraph"/>
    <w:basedOn w:val="Normal"/>
    <w:uiPriority w:val="34"/>
    <w:qFormat/>
    <w:rsid w:val="003D1561"/>
    <w:pPr>
      <w:ind w:left="720"/>
      <w:contextualSpacing/>
    </w:pPr>
  </w:style>
  <w:style w:type="paragraph" w:styleId="Zaglavlje">
    <w:name w:val="header"/>
    <w:basedOn w:val="Normal"/>
    <w:link w:val="ZaglavljeChar"/>
    <w:uiPriority w:val="99"/>
    <w:unhideWhenUsed/>
    <w:rsid w:val="00B00F84"/>
    <w:pPr>
      <w:tabs>
        <w:tab w:val="center" w:pos="4536"/>
        <w:tab w:val="right" w:pos="9072"/>
      </w:tabs>
    </w:pPr>
  </w:style>
  <w:style w:type="character" w:customStyle="1" w:styleId="ZaglavljeChar">
    <w:name w:val="Zaglavlje Char"/>
    <w:basedOn w:val="Zadanifontodlomka"/>
    <w:link w:val="Zaglavlje"/>
    <w:uiPriority w:val="99"/>
    <w:rsid w:val="00B00F84"/>
  </w:style>
  <w:style w:type="paragraph" w:styleId="Podnoje">
    <w:name w:val="footer"/>
    <w:basedOn w:val="Normal"/>
    <w:link w:val="PodnojeChar"/>
    <w:uiPriority w:val="99"/>
    <w:unhideWhenUsed/>
    <w:rsid w:val="00B00F84"/>
    <w:pPr>
      <w:tabs>
        <w:tab w:val="center" w:pos="4536"/>
        <w:tab w:val="right" w:pos="9072"/>
      </w:tabs>
    </w:pPr>
  </w:style>
  <w:style w:type="character" w:customStyle="1" w:styleId="PodnojeChar">
    <w:name w:val="Podnožje Char"/>
    <w:basedOn w:val="Zadanifontodlomka"/>
    <w:link w:val="Podnoje"/>
    <w:uiPriority w:val="99"/>
    <w:rsid w:val="00B00F84"/>
  </w:style>
  <w:style w:type="paragraph" w:styleId="TOCNaslov">
    <w:name w:val="TOC Heading"/>
    <w:basedOn w:val="Naslov1"/>
    <w:next w:val="Normal"/>
    <w:uiPriority w:val="39"/>
    <w:unhideWhenUsed/>
    <w:qFormat/>
    <w:rsid w:val="0021451B"/>
    <w:pPr>
      <w:spacing w:line="259" w:lineRule="auto"/>
      <w:outlineLvl w:val="9"/>
    </w:pPr>
    <w:rPr>
      <w:lang w:val="en-US"/>
    </w:rPr>
  </w:style>
  <w:style w:type="paragraph" w:styleId="Sadraj2">
    <w:name w:val="toc 2"/>
    <w:basedOn w:val="Normal"/>
    <w:next w:val="Normal"/>
    <w:autoRedefine/>
    <w:uiPriority w:val="39"/>
    <w:unhideWhenUsed/>
    <w:rsid w:val="0021451B"/>
    <w:pPr>
      <w:spacing w:after="100"/>
      <w:ind w:left="220"/>
    </w:pPr>
  </w:style>
  <w:style w:type="paragraph" w:styleId="Sadraj1">
    <w:name w:val="toc 1"/>
    <w:basedOn w:val="Normal"/>
    <w:next w:val="Normal"/>
    <w:autoRedefine/>
    <w:uiPriority w:val="39"/>
    <w:unhideWhenUsed/>
    <w:rsid w:val="0021451B"/>
    <w:pPr>
      <w:spacing w:after="100"/>
    </w:pPr>
  </w:style>
  <w:style w:type="paragraph" w:styleId="Sadraj3">
    <w:name w:val="toc 3"/>
    <w:basedOn w:val="Normal"/>
    <w:next w:val="Normal"/>
    <w:autoRedefine/>
    <w:uiPriority w:val="39"/>
    <w:unhideWhenUsed/>
    <w:rsid w:val="0021451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5354">
      <w:bodyDiv w:val="1"/>
      <w:marLeft w:val="0"/>
      <w:marRight w:val="0"/>
      <w:marTop w:val="0"/>
      <w:marBottom w:val="0"/>
      <w:divBdr>
        <w:top w:val="none" w:sz="0" w:space="0" w:color="auto"/>
        <w:left w:val="none" w:sz="0" w:space="0" w:color="auto"/>
        <w:bottom w:val="none" w:sz="0" w:space="0" w:color="auto"/>
        <w:right w:val="none" w:sz="0" w:space="0" w:color="auto"/>
      </w:divBdr>
    </w:div>
    <w:div w:id="82576428">
      <w:bodyDiv w:val="1"/>
      <w:marLeft w:val="0"/>
      <w:marRight w:val="0"/>
      <w:marTop w:val="0"/>
      <w:marBottom w:val="0"/>
      <w:divBdr>
        <w:top w:val="none" w:sz="0" w:space="0" w:color="auto"/>
        <w:left w:val="none" w:sz="0" w:space="0" w:color="auto"/>
        <w:bottom w:val="none" w:sz="0" w:space="0" w:color="auto"/>
        <w:right w:val="none" w:sz="0" w:space="0" w:color="auto"/>
      </w:divBdr>
    </w:div>
    <w:div w:id="105540837">
      <w:bodyDiv w:val="1"/>
      <w:marLeft w:val="0"/>
      <w:marRight w:val="0"/>
      <w:marTop w:val="0"/>
      <w:marBottom w:val="0"/>
      <w:divBdr>
        <w:top w:val="none" w:sz="0" w:space="0" w:color="auto"/>
        <w:left w:val="none" w:sz="0" w:space="0" w:color="auto"/>
        <w:bottom w:val="none" w:sz="0" w:space="0" w:color="auto"/>
        <w:right w:val="none" w:sz="0" w:space="0" w:color="auto"/>
      </w:divBdr>
    </w:div>
    <w:div w:id="149367885">
      <w:bodyDiv w:val="1"/>
      <w:marLeft w:val="0"/>
      <w:marRight w:val="0"/>
      <w:marTop w:val="0"/>
      <w:marBottom w:val="0"/>
      <w:divBdr>
        <w:top w:val="none" w:sz="0" w:space="0" w:color="auto"/>
        <w:left w:val="none" w:sz="0" w:space="0" w:color="auto"/>
        <w:bottom w:val="none" w:sz="0" w:space="0" w:color="auto"/>
        <w:right w:val="none" w:sz="0" w:space="0" w:color="auto"/>
      </w:divBdr>
    </w:div>
    <w:div w:id="171994890">
      <w:bodyDiv w:val="1"/>
      <w:marLeft w:val="0"/>
      <w:marRight w:val="0"/>
      <w:marTop w:val="0"/>
      <w:marBottom w:val="0"/>
      <w:divBdr>
        <w:top w:val="none" w:sz="0" w:space="0" w:color="auto"/>
        <w:left w:val="none" w:sz="0" w:space="0" w:color="auto"/>
        <w:bottom w:val="none" w:sz="0" w:space="0" w:color="auto"/>
        <w:right w:val="none" w:sz="0" w:space="0" w:color="auto"/>
      </w:divBdr>
    </w:div>
    <w:div w:id="283273155">
      <w:bodyDiv w:val="1"/>
      <w:marLeft w:val="0"/>
      <w:marRight w:val="0"/>
      <w:marTop w:val="0"/>
      <w:marBottom w:val="0"/>
      <w:divBdr>
        <w:top w:val="none" w:sz="0" w:space="0" w:color="auto"/>
        <w:left w:val="none" w:sz="0" w:space="0" w:color="auto"/>
        <w:bottom w:val="none" w:sz="0" w:space="0" w:color="auto"/>
        <w:right w:val="none" w:sz="0" w:space="0" w:color="auto"/>
      </w:divBdr>
    </w:div>
    <w:div w:id="287131257">
      <w:bodyDiv w:val="1"/>
      <w:marLeft w:val="0"/>
      <w:marRight w:val="0"/>
      <w:marTop w:val="0"/>
      <w:marBottom w:val="0"/>
      <w:divBdr>
        <w:top w:val="none" w:sz="0" w:space="0" w:color="auto"/>
        <w:left w:val="none" w:sz="0" w:space="0" w:color="auto"/>
        <w:bottom w:val="none" w:sz="0" w:space="0" w:color="auto"/>
        <w:right w:val="none" w:sz="0" w:space="0" w:color="auto"/>
      </w:divBdr>
    </w:div>
    <w:div w:id="338773334">
      <w:bodyDiv w:val="1"/>
      <w:marLeft w:val="0"/>
      <w:marRight w:val="0"/>
      <w:marTop w:val="0"/>
      <w:marBottom w:val="0"/>
      <w:divBdr>
        <w:top w:val="none" w:sz="0" w:space="0" w:color="auto"/>
        <w:left w:val="none" w:sz="0" w:space="0" w:color="auto"/>
        <w:bottom w:val="none" w:sz="0" w:space="0" w:color="auto"/>
        <w:right w:val="none" w:sz="0" w:space="0" w:color="auto"/>
      </w:divBdr>
    </w:div>
    <w:div w:id="344326597">
      <w:bodyDiv w:val="1"/>
      <w:marLeft w:val="0"/>
      <w:marRight w:val="0"/>
      <w:marTop w:val="0"/>
      <w:marBottom w:val="0"/>
      <w:divBdr>
        <w:top w:val="none" w:sz="0" w:space="0" w:color="auto"/>
        <w:left w:val="none" w:sz="0" w:space="0" w:color="auto"/>
        <w:bottom w:val="none" w:sz="0" w:space="0" w:color="auto"/>
        <w:right w:val="none" w:sz="0" w:space="0" w:color="auto"/>
      </w:divBdr>
    </w:div>
    <w:div w:id="377510023">
      <w:bodyDiv w:val="1"/>
      <w:marLeft w:val="0"/>
      <w:marRight w:val="0"/>
      <w:marTop w:val="0"/>
      <w:marBottom w:val="0"/>
      <w:divBdr>
        <w:top w:val="none" w:sz="0" w:space="0" w:color="auto"/>
        <w:left w:val="none" w:sz="0" w:space="0" w:color="auto"/>
        <w:bottom w:val="none" w:sz="0" w:space="0" w:color="auto"/>
        <w:right w:val="none" w:sz="0" w:space="0" w:color="auto"/>
      </w:divBdr>
    </w:div>
    <w:div w:id="394204888">
      <w:bodyDiv w:val="1"/>
      <w:marLeft w:val="0"/>
      <w:marRight w:val="0"/>
      <w:marTop w:val="0"/>
      <w:marBottom w:val="0"/>
      <w:divBdr>
        <w:top w:val="none" w:sz="0" w:space="0" w:color="auto"/>
        <w:left w:val="none" w:sz="0" w:space="0" w:color="auto"/>
        <w:bottom w:val="none" w:sz="0" w:space="0" w:color="auto"/>
        <w:right w:val="none" w:sz="0" w:space="0" w:color="auto"/>
      </w:divBdr>
    </w:div>
    <w:div w:id="559294542">
      <w:bodyDiv w:val="1"/>
      <w:marLeft w:val="0"/>
      <w:marRight w:val="0"/>
      <w:marTop w:val="0"/>
      <w:marBottom w:val="0"/>
      <w:divBdr>
        <w:top w:val="none" w:sz="0" w:space="0" w:color="auto"/>
        <w:left w:val="none" w:sz="0" w:space="0" w:color="auto"/>
        <w:bottom w:val="none" w:sz="0" w:space="0" w:color="auto"/>
        <w:right w:val="none" w:sz="0" w:space="0" w:color="auto"/>
      </w:divBdr>
    </w:div>
    <w:div w:id="581447455">
      <w:bodyDiv w:val="1"/>
      <w:marLeft w:val="0"/>
      <w:marRight w:val="0"/>
      <w:marTop w:val="0"/>
      <w:marBottom w:val="0"/>
      <w:divBdr>
        <w:top w:val="none" w:sz="0" w:space="0" w:color="auto"/>
        <w:left w:val="none" w:sz="0" w:space="0" w:color="auto"/>
        <w:bottom w:val="none" w:sz="0" w:space="0" w:color="auto"/>
        <w:right w:val="none" w:sz="0" w:space="0" w:color="auto"/>
      </w:divBdr>
    </w:div>
    <w:div w:id="678965512">
      <w:bodyDiv w:val="1"/>
      <w:marLeft w:val="0"/>
      <w:marRight w:val="0"/>
      <w:marTop w:val="0"/>
      <w:marBottom w:val="0"/>
      <w:divBdr>
        <w:top w:val="none" w:sz="0" w:space="0" w:color="auto"/>
        <w:left w:val="none" w:sz="0" w:space="0" w:color="auto"/>
        <w:bottom w:val="none" w:sz="0" w:space="0" w:color="auto"/>
        <w:right w:val="none" w:sz="0" w:space="0" w:color="auto"/>
      </w:divBdr>
    </w:div>
    <w:div w:id="750155829">
      <w:bodyDiv w:val="1"/>
      <w:marLeft w:val="0"/>
      <w:marRight w:val="0"/>
      <w:marTop w:val="0"/>
      <w:marBottom w:val="0"/>
      <w:divBdr>
        <w:top w:val="none" w:sz="0" w:space="0" w:color="auto"/>
        <w:left w:val="none" w:sz="0" w:space="0" w:color="auto"/>
        <w:bottom w:val="none" w:sz="0" w:space="0" w:color="auto"/>
        <w:right w:val="none" w:sz="0" w:space="0" w:color="auto"/>
      </w:divBdr>
    </w:div>
    <w:div w:id="976956245">
      <w:bodyDiv w:val="1"/>
      <w:marLeft w:val="0"/>
      <w:marRight w:val="0"/>
      <w:marTop w:val="0"/>
      <w:marBottom w:val="0"/>
      <w:divBdr>
        <w:top w:val="none" w:sz="0" w:space="0" w:color="auto"/>
        <w:left w:val="none" w:sz="0" w:space="0" w:color="auto"/>
        <w:bottom w:val="none" w:sz="0" w:space="0" w:color="auto"/>
        <w:right w:val="none" w:sz="0" w:space="0" w:color="auto"/>
      </w:divBdr>
    </w:div>
    <w:div w:id="1157301491">
      <w:bodyDiv w:val="1"/>
      <w:marLeft w:val="0"/>
      <w:marRight w:val="0"/>
      <w:marTop w:val="0"/>
      <w:marBottom w:val="0"/>
      <w:divBdr>
        <w:top w:val="none" w:sz="0" w:space="0" w:color="auto"/>
        <w:left w:val="none" w:sz="0" w:space="0" w:color="auto"/>
        <w:bottom w:val="none" w:sz="0" w:space="0" w:color="auto"/>
        <w:right w:val="none" w:sz="0" w:space="0" w:color="auto"/>
      </w:divBdr>
    </w:div>
    <w:div w:id="1308365469">
      <w:bodyDiv w:val="1"/>
      <w:marLeft w:val="0"/>
      <w:marRight w:val="0"/>
      <w:marTop w:val="0"/>
      <w:marBottom w:val="0"/>
      <w:divBdr>
        <w:top w:val="none" w:sz="0" w:space="0" w:color="auto"/>
        <w:left w:val="none" w:sz="0" w:space="0" w:color="auto"/>
        <w:bottom w:val="none" w:sz="0" w:space="0" w:color="auto"/>
        <w:right w:val="none" w:sz="0" w:space="0" w:color="auto"/>
      </w:divBdr>
    </w:div>
    <w:div w:id="1398473291">
      <w:bodyDiv w:val="1"/>
      <w:marLeft w:val="0"/>
      <w:marRight w:val="0"/>
      <w:marTop w:val="0"/>
      <w:marBottom w:val="0"/>
      <w:divBdr>
        <w:top w:val="none" w:sz="0" w:space="0" w:color="auto"/>
        <w:left w:val="none" w:sz="0" w:space="0" w:color="auto"/>
        <w:bottom w:val="none" w:sz="0" w:space="0" w:color="auto"/>
        <w:right w:val="none" w:sz="0" w:space="0" w:color="auto"/>
      </w:divBdr>
    </w:div>
    <w:div w:id="1416970978">
      <w:bodyDiv w:val="1"/>
      <w:marLeft w:val="0"/>
      <w:marRight w:val="0"/>
      <w:marTop w:val="0"/>
      <w:marBottom w:val="0"/>
      <w:divBdr>
        <w:top w:val="none" w:sz="0" w:space="0" w:color="auto"/>
        <w:left w:val="none" w:sz="0" w:space="0" w:color="auto"/>
        <w:bottom w:val="none" w:sz="0" w:space="0" w:color="auto"/>
        <w:right w:val="none" w:sz="0" w:space="0" w:color="auto"/>
      </w:divBdr>
    </w:div>
    <w:div w:id="1457873390">
      <w:bodyDiv w:val="1"/>
      <w:marLeft w:val="0"/>
      <w:marRight w:val="0"/>
      <w:marTop w:val="0"/>
      <w:marBottom w:val="0"/>
      <w:divBdr>
        <w:top w:val="none" w:sz="0" w:space="0" w:color="auto"/>
        <w:left w:val="none" w:sz="0" w:space="0" w:color="auto"/>
        <w:bottom w:val="none" w:sz="0" w:space="0" w:color="auto"/>
        <w:right w:val="none" w:sz="0" w:space="0" w:color="auto"/>
      </w:divBdr>
    </w:div>
    <w:div w:id="1660188556">
      <w:bodyDiv w:val="1"/>
      <w:marLeft w:val="0"/>
      <w:marRight w:val="0"/>
      <w:marTop w:val="0"/>
      <w:marBottom w:val="0"/>
      <w:divBdr>
        <w:top w:val="none" w:sz="0" w:space="0" w:color="auto"/>
        <w:left w:val="none" w:sz="0" w:space="0" w:color="auto"/>
        <w:bottom w:val="none" w:sz="0" w:space="0" w:color="auto"/>
        <w:right w:val="none" w:sz="0" w:space="0" w:color="auto"/>
      </w:divBdr>
    </w:div>
    <w:div w:id="1874268370">
      <w:bodyDiv w:val="1"/>
      <w:marLeft w:val="0"/>
      <w:marRight w:val="0"/>
      <w:marTop w:val="0"/>
      <w:marBottom w:val="0"/>
      <w:divBdr>
        <w:top w:val="none" w:sz="0" w:space="0" w:color="auto"/>
        <w:left w:val="none" w:sz="0" w:space="0" w:color="auto"/>
        <w:bottom w:val="none" w:sz="0" w:space="0" w:color="auto"/>
        <w:right w:val="none" w:sz="0" w:space="0" w:color="auto"/>
      </w:divBdr>
    </w:div>
    <w:div w:id="1876581849">
      <w:bodyDiv w:val="1"/>
      <w:marLeft w:val="0"/>
      <w:marRight w:val="0"/>
      <w:marTop w:val="0"/>
      <w:marBottom w:val="0"/>
      <w:divBdr>
        <w:top w:val="none" w:sz="0" w:space="0" w:color="auto"/>
        <w:left w:val="none" w:sz="0" w:space="0" w:color="auto"/>
        <w:bottom w:val="none" w:sz="0" w:space="0" w:color="auto"/>
        <w:right w:val="none" w:sz="0" w:space="0" w:color="auto"/>
      </w:divBdr>
    </w:div>
    <w:div w:id="1971324909">
      <w:bodyDiv w:val="1"/>
      <w:marLeft w:val="0"/>
      <w:marRight w:val="0"/>
      <w:marTop w:val="0"/>
      <w:marBottom w:val="0"/>
      <w:divBdr>
        <w:top w:val="none" w:sz="0" w:space="0" w:color="auto"/>
        <w:left w:val="none" w:sz="0" w:space="0" w:color="auto"/>
        <w:bottom w:val="none" w:sz="0" w:space="0" w:color="auto"/>
        <w:right w:val="none" w:sz="0" w:space="0" w:color="auto"/>
      </w:divBdr>
    </w:div>
    <w:div w:id="2028100182">
      <w:bodyDiv w:val="1"/>
      <w:marLeft w:val="0"/>
      <w:marRight w:val="0"/>
      <w:marTop w:val="0"/>
      <w:marBottom w:val="0"/>
      <w:divBdr>
        <w:top w:val="none" w:sz="0" w:space="0" w:color="auto"/>
        <w:left w:val="none" w:sz="0" w:space="0" w:color="auto"/>
        <w:bottom w:val="none" w:sz="0" w:space="0" w:color="auto"/>
        <w:right w:val="none" w:sz="0" w:space="0" w:color="auto"/>
      </w:divBdr>
    </w:div>
    <w:div w:id="2073961904">
      <w:bodyDiv w:val="1"/>
      <w:marLeft w:val="0"/>
      <w:marRight w:val="0"/>
      <w:marTop w:val="0"/>
      <w:marBottom w:val="0"/>
      <w:divBdr>
        <w:top w:val="none" w:sz="0" w:space="0" w:color="auto"/>
        <w:left w:val="none" w:sz="0" w:space="0" w:color="auto"/>
        <w:bottom w:val="none" w:sz="0" w:space="0" w:color="auto"/>
        <w:right w:val="none" w:sz="0" w:space="0" w:color="auto"/>
      </w:divBdr>
    </w:div>
    <w:div w:id="208417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tnazg.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itna@hitnazg.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51926-09EB-496D-AA4D-B213E6F9B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4399</Words>
  <Characters>25076</Characters>
  <Application>Microsoft Office Word</Application>
  <DocSecurity>0</DocSecurity>
  <Lines>208</Lines>
  <Paragraphs>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Dražen Dinter</dc:creator>
  <cp:keywords/>
  <dc:description/>
  <cp:lastModifiedBy>Nevenka Fištrek</cp:lastModifiedBy>
  <cp:revision>2</cp:revision>
  <dcterms:created xsi:type="dcterms:W3CDTF">2024-01-31T10:33:00Z</dcterms:created>
  <dcterms:modified xsi:type="dcterms:W3CDTF">2024-01-31T10:33:00Z</dcterms:modified>
</cp:coreProperties>
</file>